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54984" w14:textId="468EC4F1" w:rsidR="00675C27" w:rsidRPr="00444A16" w:rsidRDefault="0075069C" w:rsidP="00F71A33">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8A795E">
        <w:rPr>
          <w:rFonts w:cs="Arial"/>
          <w:szCs w:val="22"/>
        </w:rPr>
        <w:t>8</w:t>
      </w:r>
      <w:r w:rsidR="006F2780">
        <w:rPr>
          <w:rFonts w:cs="Arial"/>
          <w:szCs w:val="22"/>
        </w:rPr>
        <w:t xml:space="preserve">   </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23120A" w:rsidRPr="0023120A">
        <w:t>2313099</w:t>
      </w:r>
      <w:r w:rsidR="005E4976">
        <w:t xml:space="preserve"> </w:t>
      </w:r>
      <w:r w:rsidR="008A795E">
        <w:rPr>
          <w:rFonts w:eastAsia="宋体"/>
          <w:lang w:eastAsia="zh-CN"/>
        </w:rPr>
        <w:t>Toulouse, France, August 21 – 25</w:t>
      </w:r>
      <w:r w:rsidR="006F2780">
        <w:rPr>
          <w:rFonts w:eastAsia="宋体"/>
          <w:lang w:eastAsia="zh-CN"/>
        </w:rPr>
        <w:t xml:space="preserve">,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1B3AC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On the RF requirement for STxMP</w:t>
      </w:r>
    </w:p>
    <w:p w14:paraId="4EC1E699" w14:textId="503E944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2437A">
        <w:rPr>
          <w:rFonts w:ascii="Arial" w:hAnsi="Arial" w:cs="Arial"/>
          <w:sz w:val="22"/>
        </w:rPr>
        <w:t>8</w:t>
      </w:r>
      <w:r w:rsidR="00D02F4C">
        <w:rPr>
          <w:rFonts w:ascii="Arial" w:hAnsi="Arial" w:cs="Arial"/>
          <w:sz w:val="22"/>
        </w:rPr>
        <w:t>.</w:t>
      </w:r>
      <w:r w:rsidR="000A2951">
        <w:rPr>
          <w:rFonts w:ascii="Arial" w:hAnsi="Arial" w:cs="Arial"/>
          <w:sz w:val="22"/>
        </w:rPr>
        <w:t>29</w:t>
      </w:r>
      <w:r w:rsidR="005660EE">
        <w:rPr>
          <w:rFonts w:ascii="Arial" w:hAnsi="Arial" w:cs="Arial"/>
          <w:sz w:val="22"/>
        </w:rPr>
        <w:t>.</w:t>
      </w:r>
      <w:r w:rsidR="0012437A">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2E9EC58D" w14:textId="54A965CA" w:rsidR="00082276" w:rsidRPr="002974E6" w:rsidRDefault="005809DF" w:rsidP="00942B57">
      <w:pPr>
        <w:jc w:val="both"/>
      </w:pPr>
      <w:r>
        <w:t xml:space="preserve">In the </w:t>
      </w:r>
      <w:r w:rsidR="00DE6101">
        <w:t>previous</w:t>
      </w:r>
      <w:r>
        <w:t xml:space="preserve"> RAN4 meeting, </w:t>
      </w:r>
      <w:r w:rsidR="00DE3434">
        <w:t>constructive</w:t>
      </w:r>
      <w:r w:rsidR="00DE6101">
        <w:t xml:space="preserve"> discussion as to</w:t>
      </w:r>
      <w:r w:rsidR="001721F6">
        <w:t xml:space="preserve"> this feature has been done with the following conclusions and study points captured in the WF [1]: </w:t>
      </w:r>
    </w:p>
    <w:tbl>
      <w:tblPr>
        <w:tblStyle w:val="af8"/>
        <w:tblW w:w="0" w:type="auto"/>
        <w:tblLook w:val="04A0" w:firstRow="1" w:lastRow="0" w:firstColumn="1" w:lastColumn="0" w:noHBand="0" w:noVBand="1"/>
      </w:tblPr>
      <w:tblGrid>
        <w:gridCol w:w="9631"/>
      </w:tblGrid>
      <w:tr w:rsidR="00CA7982" w14:paraId="59949462" w14:textId="77777777" w:rsidTr="00CA7982">
        <w:tc>
          <w:tcPr>
            <w:tcW w:w="9631" w:type="dxa"/>
          </w:tcPr>
          <w:p w14:paraId="7EE5BCB0" w14:textId="77777777" w:rsidR="00DE3434" w:rsidRDefault="00DE3434" w:rsidP="00DE3434">
            <w:r>
              <w:rPr>
                <w:b/>
              </w:rPr>
              <w:t xml:space="preserve">&lt;Agreement&gt;: </w:t>
            </w:r>
            <w:proofErr w:type="spellStart"/>
            <w:r>
              <w:rPr>
                <w:b/>
              </w:rPr>
              <w:t>Pcmax</w:t>
            </w:r>
            <w:proofErr w:type="spellEnd"/>
            <w:r>
              <w:rPr>
                <w:b/>
              </w:rPr>
              <w:t>/</w:t>
            </w:r>
            <w:proofErr w:type="spellStart"/>
            <w:r>
              <w:rPr>
                <w:b/>
              </w:rPr>
              <w:t>Pumax</w:t>
            </w:r>
            <w:proofErr w:type="spellEnd"/>
            <w:r>
              <w:rPr>
                <w:b/>
              </w:rPr>
              <w:t xml:space="preserve"> for STxMP</w:t>
            </w:r>
          </w:p>
          <w:p w14:paraId="4E84B641" w14:textId="77777777" w:rsidR="00DE3434" w:rsidRDefault="00DE3434" w:rsidP="00DE3434">
            <w:pPr>
              <w:pStyle w:val="B10"/>
              <w:numPr>
                <w:ilvl w:val="0"/>
                <w:numId w:val="39"/>
              </w:numPr>
            </w:pPr>
            <w:r>
              <w:t xml:space="preserve">RAN4 agreed to define </w:t>
            </w:r>
            <w:proofErr w:type="spellStart"/>
            <w:r>
              <w:t>‘per</w:t>
            </w:r>
            <w:proofErr w:type="spellEnd"/>
            <w:r>
              <w:t xml:space="preserve">-panel’ configured transmitted power for STxMP power control. </w:t>
            </w:r>
          </w:p>
          <w:p w14:paraId="5450C171" w14:textId="77777777" w:rsidR="00DE3434" w:rsidRDefault="00DE3434" w:rsidP="00DE3434">
            <w:pPr>
              <w:pStyle w:val="B10"/>
              <w:numPr>
                <w:ilvl w:val="0"/>
                <w:numId w:val="39"/>
              </w:numPr>
            </w:pPr>
            <w:r>
              <w:t>Total n</w:t>
            </w:r>
            <w:r w:rsidRPr="00726522">
              <w:t xml:space="preserve">umber of </w:t>
            </w:r>
            <w:r>
              <w:t xml:space="preserve">panels for </w:t>
            </w:r>
            <w:proofErr w:type="spellStart"/>
            <w:r>
              <w:t>‘per</w:t>
            </w:r>
            <w:proofErr w:type="spellEnd"/>
            <w:r>
              <w:t xml:space="preserve">-panel’ </w:t>
            </w:r>
            <w:proofErr w:type="spellStart"/>
            <w:r>
              <w:t>Pcmax</w:t>
            </w:r>
            <w:proofErr w:type="spellEnd"/>
            <w:r>
              <w:t xml:space="preserve"> </w:t>
            </w:r>
            <w:r w:rsidRPr="00726522">
              <w:t xml:space="preserve">should be </w:t>
            </w:r>
            <w:r>
              <w:t xml:space="preserve">two </w:t>
            </w:r>
          </w:p>
          <w:p w14:paraId="3919E01F" w14:textId="77777777" w:rsidR="00DE3434" w:rsidRDefault="00DE3434" w:rsidP="00DE3434">
            <w:pPr>
              <w:pStyle w:val="B10"/>
              <w:numPr>
                <w:ilvl w:val="0"/>
                <w:numId w:val="39"/>
              </w:numPr>
            </w:pPr>
            <w:r>
              <w:t xml:space="preserve">FFS whether to introduce new </w:t>
            </w:r>
            <w:proofErr w:type="spellStart"/>
            <w:r>
              <w:t>inequation</w:t>
            </w:r>
            <w:proofErr w:type="spellEnd"/>
            <w:r>
              <w:t xml:space="preserve"> for </w:t>
            </w:r>
            <w:proofErr w:type="spellStart"/>
            <w:r>
              <w:t>‘per</w:t>
            </w:r>
            <w:proofErr w:type="spellEnd"/>
            <w:r>
              <w:t xml:space="preserve">-panel’ </w:t>
            </w:r>
            <w:proofErr w:type="spellStart"/>
            <w:r>
              <w:t>Pumax</w:t>
            </w:r>
            <w:proofErr w:type="spellEnd"/>
          </w:p>
          <w:p w14:paraId="30B7D776" w14:textId="77777777" w:rsidR="00DE3434" w:rsidRPr="005852D8" w:rsidRDefault="00DE3434" w:rsidP="00DE3434">
            <w:pPr>
              <w:pStyle w:val="B10"/>
              <w:numPr>
                <w:ilvl w:val="0"/>
                <w:numId w:val="39"/>
              </w:numPr>
              <w:rPr>
                <w:rFonts w:eastAsia="等线"/>
              </w:rPr>
            </w:pPr>
            <w:proofErr w:type="spellStart"/>
            <w:r w:rsidRPr="006B0E38">
              <w:t>‘per</w:t>
            </w:r>
            <w:proofErr w:type="spellEnd"/>
            <w:r w:rsidRPr="006B0E38">
              <w:t xml:space="preserve">-panel’ to be replaced in final spec language, </w:t>
            </w:r>
            <w:r>
              <w:t xml:space="preserve">FFS how to define per-panel ‘k (k=0,1)’ for </w:t>
            </w:r>
            <w:proofErr w:type="spellStart"/>
            <w:r>
              <w:t>P</w:t>
            </w:r>
            <w:r w:rsidRPr="005852D8">
              <w:rPr>
                <w:vertAlign w:val="subscript"/>
              </w:rPr>
              <w:t>CMAXf,c,k</w:t>
            </w:r>
            <w:proofErr w:type="spellEnd"/>
            <w:r>
              <w:t xml:space="preserve"> considering following options</w:t>
            </w:r>
          </w:p>
          <w:p w14:paraId="17D18750" w14:textId="77777777" w:rsidR="00DE3434" w:rsidRPr="005852D8" w:rsidRDefault="00DE3434" w:rsidP="00DE3434">
            <w:pPr>
              <w:pStyle w:val="B10"/>
              <w:numPr>
                <w:ilvl w:val="1"/>
                <w:numId w:val="39"/>
              </w:numPr>
              <w:rPr>
                <w:rFonts w:eastAsia="等线"/>
              </w:rPr>
            </w:pPr>
            <w:r>
              <w:rPr>
                <w:rFonts w:eastAsiaTheme="minorEastAsia"/>
                <w:lang w:eastAsia="ko-KR"/>
              </w:rPr>
              <w:t>Per TCI state</w:t>
            </w:r>
          </w:p>
          <w:p w14:paraId="5C40B970" w14:textId="77777777" w:rsidR="00DE3434" w:rsidRPr="005852D8" w:rsidRDefault="00DE3434" w:rsidP="00DE3434">
            <w:pPr>
              <w:pStyle w:val="B10"/>
              <w:numPr>
                <w:ilvl w:val="1"/>
                <w:numId w:val="39"/>
              </w:numPr>
              <w:rPr>
                <w:rFonts w:eastAsia="等线"/>
              </w:rPr>
            </w:pPr>
            <w:r>
              <w:rPr>
                <w:rFonts w:eastAsiaTheme="minorEastAsia" w:hint="eastAsia"/>
                <w:lang w:eastAsia="ko-KR"/>
              </w:rPr>
              <w:t>P</w:t>
            </w:r>
            <w:r>
              <w:rPr>
                <w:rFonts w:eastAsiaTheme="minorEastAsia"/>
                <w:lang w:eastAsia="ko-KR"/>
              </w:rPr>
              <w:t>er TCI pool</w:t>
            </w:r>
          </w:p>
          <w:p w14:paraId="3A16F26D" w14:textId="77777777" w:rsidR="00DE3434" w:rsidRPr="005852D8" w:rsidRDefault="00DE3434" w:rsidP="00DE3434">
            <w:pPr>
              <w:pStyle w:val="B10"/>
              <w:numPr>
                <w:ilvl w:val="1"/>
                <w:numId w:val="39"/>
              </w:numPr>
              <w:rPr>
                <w:rFonts w:eastAsia="等线"/>
              </w:rPr>
            </w:pPr>
            <w:r>
              <w:rPr>
                <w:rFonts w:eastAsiaTheme="minorEastAsia" w:hint="eastAsia"/>
                <w:lang w:eastAsia="ko-KR"/>
              </w:rPr>
              <w:t>P</w:t>
            </w:r>
            <w:r>
              <w:rPr>
                <w:rFonts w:eastAsiaTheme="minorEastAsia"/>
                <w:lang w:eastAsia="ko-KR"/>
              </w:rPr>
              <w:t>er SRS resource set</w:t>
            </w:r>
          </w:p>
          <w:p w14:paraId="6459EF9E" w14:textId="770FD3DD" w:rsidR="00DE3434" w:rsidRPr="003758E8" w:rsidRDefault="00DE3434" w:rsidP="00DE3434">
            <w:pPr>
              <w:pStyle w:val="B10"/>
              <w:numPr>
                <w:ilvl w:val="1"/>
                <w:numId w:val="39"/>
              </w:numPr>
              <w:rPr>
                <w:rFonts w:eastAsia="等线"/>
              </w:rPr>
            </w:pPr>
            <w:r>
              <w:rPr>
                <w:rFonts w:eastAsiaTheme="minorEastAsia" w:hint="eastAsia"/>
                <w:lang w:eastAsia="ko-KR"/>
              </w:rPr>
              <w:t>O</w:t>
            </w:r>
            <w:r>
              <w:rPr>
                <w:rFonts w:eastAsiaTheme="minorEastAsia"/>
                <w:lang w:eastAsia="ko-KR"/>
              </w:rPr>
              <w:t xml:space="preserve">thers based on RAN1 updates are not precluded </w:t>
            </w:r>
          </w:p>
          <w:p w14:paraId="694A6207" w14:textId="77777777" w:rsidR="00DE3434" w:rsidRDefault="00DE3434" w:rsidP="00DE3434">
            <w:r>
              <w:rPr>
                <w:b/>
              </w:rPr>
              <w:t>&lt;Agreement&gt;: Other UE RF requirements</w:t>
            </w:r>
          </w:p>
          <w:p w14:paraId="659F9A61" w14:textId="77777777" w:rsidR="00DE3434" w:rsidRDefault="00DE3434" w:rsidP="00DE3434">
            <w:pPr>
              <w:pStyle w:val="B10"/>
              <w:numPr>
                <w:ilvl w:val="0"/>
                <w:numId w:val="39"/>
              </w:numPr>
            </w:pPr>
            <w:r w:rsidRPr="00310FFE">
              <w:t>For STxMP UE architecture, the ability to steer two UL beams independently is a minimum capability. Other than that, it should be left to UE implementation</w:t>
            </w:r>
          </w:p>
          <w:p w14:paraId="36F27466" w14:textId="77777777" w:rsidR="00DE3434" w:rsidRPr="008F7836" w:rsidRDefault="00DE3434" w:rsidP="00DE3434">
            <w:pPr>
              <w:pStyle w:val="B10"/>
              <w:numPr>
                <w:ilvl w:val="0"/>
                <w:numId w:val="39"/>
              </w:numPr>
            </w:pPr>
            <w:r>
              <w:rPr>
                <w:rFonts w:eastAsiaTheme="minorEastAsia" w:hint="eastAsia"/>
                <w:lang w:eastAsia="ko-KR"/>
              </w:rPr>
              <w:t>F</w:t>
            </w:r>
            <w:r>
              <w:rPr>
                <w:rFonts w:eastAsiaTheme="minorEastAsia"/>
                <w:lang w:eastAsia="ko-KR"/>
              </w:rPr>
              <w:t xml:space="preserve">FS whether/how to define </w:t>
            </w:r>
            <w:proofErr w:type="spellStart"/>
            <w:r>
              <w:rPr>
                <w:rFonts w:eastAsiaTheme="minorEastAsia"/>
                <w:lang w:eastAsia="ko-KR"/>
              </w:rPr>
              <w:t>‘per</w:t>
            </w:r>
            <w:proofErr w:type="spellEnd"/>
            <w:r>
              <w:rPr>
                <w:rFonts w:eastAsiaTheme="minorEastAsia"/>
                <w:lang w:eastAsia="ko-KR"/>
              </w:rPr>
              <w:t>-panel’ MPR/A-MPR</w:t>
            </w:r>
          </w:p>
          <w:p w14:paraId="4FCE03E0" w14:textId="645BF39B" w:rsidR="00DE3434" w:rsidRPr="003758E8" w:rsidRDefault="00DE3434" w:rsidP="00DE3434">
            <w:pPr>
              <w:pStyle w:val="B10"/>
              <w:numPr>
                <w:ilvl w:val="0"/>
                <w:numId w:val="39"/>
              </w:numPr>
            </w:pPr>
            <w:r>
              <w:rPr>
                <w:rFonts w:eastAsiaTheme="minorEastAsia" w:hint="eastAsia"/>
                <w:lang w:eastAsia="ko-KR"/>
              </w:rPr>
              <w:t>F</w:t>
            </w:r>
            <w:r>
              <w:rPr>
                <w:rFonts w:eastAsiaTheme="minorEastAsia"/>
                <w:lang w:eastAsia="ko-KR"/>
              </w:rPr>
              <w:t>FS whether/how to handle the testability issue</w:t>
            </w:r>
          </w:p>
          <w:p w14:paraId="2D7779C0" w14:textId="77777777" w:rsidR="00DE3434" w:rsidRDefault="00DE3434" w:rsidP="00DE3434">
            <w:r>
              <w:rPr>
                <w:b/>
              </w:rPr>
              <w:t>&lt;Agreement&gt;: RAN4 work scope</w:t>
            </w:r>
          </w:p>
          <w:p w14:paraId="7536FCFE" w14:textId="3E84607A" w:rsidR="008161CC" w:rsidRPr="00DE3434" w:rsidRDefault="00DE3434" w:rsidP="00DE3434">
            <w:pPr>
              <w:pStyle w:val="B10"/>
              <w:numPr>
                <w:ilvl w:val="0"/>
                <w:numId w:val="39"/>
              </w:numPr>
            </w:pPr>
            <w:r>
              <w:t xml:space="preserve">RAN4 agreed to consider </w:t>
            </w:r>
            <w:proofErr w:type="spellStart"/>
            <w:r>
              <w:t>‘per</w:t>
            </w:r>
            <w:proofErr w:type="spellEnd"/>
            <w:r>
              <w:t>-panel’ configured transmitted power (clause 6.2X.4) for WI completion</w:t>
            </w:r>
          </w:p>
        </w:tc>
      </w:tr>
    </w:tbl>
    <w:p w14:paraId="18C99BA8" w14:textId="63F0E382" w:rsidR="009D3694" w:rsidRDefault="009A4777" w:rsidP="00942B57">
      <w:pPr>
        <w:jc w:val="both"/>
      </w:pPr>
      <w:r>
        <w:t xml:space="preserve">In this contribution, we would like to share our </w:t>
      </w:r>
      <w:r w:rsidR="006211C1">
        <w:t xml:space="preserve">further </w:t>
      </w:r>
      <w:r w:rsidR="009D3694">
        <w:t xml:space="preserve">views </w:t>
      </w:r>
      <w:r w:rsidR="003B767F">
        <w:t>on</w:t>
      </w:r>
      <w:r w:rsidR="009D3694">
        <w:t xml:space="preserve"> this topic. </w:t>
      </w:r>
    </w:p>
    <w:p w14:paraId="7628A052" w14:textId="35271700" w:rsidR="00256EDD" w:rsidRPr="008A5C5E" w:rsidRDefault="00062E8E" w:rsidP="008A5C5E">
      <w:pPr>
        <w:pStyle w:val="1"/>
        <w:spacing w:after="240"/>
        <w:rPr>
          <w:rFonts w:eastAsia="宋体"/>
          <w:lang w:eastAsia="zh-CN"/>
        </w:rPr>
      </w:pPr>
      <w:r>
        <w:rPr>
          <w:rFonts w:eastAsia="宋体" w:hint="eastAsia"/>
          <w:lang w:eastAsia="zh-CN"/>
        </w:rPr>
        <w:t>Discussion</w:t>
      </w:r>
    </w:p>
    <w:p w14:paraId="428BB1A9" w14:textId="36A39E4B" w:rsidR="00314F6D" w:rsidRDefault="00FE3B97" w:rsidP="008F36E6">
      <w:pPr>
        <w:pStyle w:val="2"/>
        <w:spacing w:after="240"/>
        <w:ind w:left="0"/>
      </w:pPr>
      <w:r>
        <w:t>On the per-panel configured transmitted power</w:t>
      </w:r>
      <w:r w:rsidR="008A5C5E">
        <w:t xml:space="preserve"> for STxMP</w:t>
      </w:r>
    </w:p>
    <w:p w14:paraId="4EDB31E1" w14:textId="0A96C8E9" w:rsidR="00F42020" w:rsidRDefault="00BA30DF" w:rsidP="00710091">
      <w:pPr>
        <w:jc w:val="both"/>
        <w:rPr>
          <w:lang w:eastAsia="en-US"/>
        </w:rPr>
      </w:pPr>
      <w:r>
        <w:rPr>
          <w:lang w:eastAsia="en-US"/>
        </w:rPr>
        <w:t>As one unsolved issue, RAN4 will further discuss on how to implement “per-panel” configured transmitted power. In previous meeting, three proposals were presented</w:t>
      </w:r>
      <w:r w:rsidR="00370A53">
        <w:rPr>
          <w:lang w:eastAsia="en-US"/>
        </w:rPr>
        <w:t>. We still highly recommend check</w:t>
      </w:r>
      <w:r w:rsidR="007C442D">
        <w:rPr>
          <w:lang w:eastAsia="en-US"/>
        </w:rPr>
        <w:t>ing on</w:t>
      </w:r>
      <w:r w:rsidR="00370A53">
        <w:rPr>
          <w:lang w:eastAsia="en-US"/>
        </w:rPr>
        <w:t xml:space="preserve"> related RAN1 discussion</w:t>
      </w:r>
      <w:r w:rsidR="006159C7">
        <w:rPr>
          <w:lang w:eastAsia="en-US"/>
        </w:rPr>
        <w:t xml:space="preserve"> since it would be wiser to avoid overlapping discussion in RAN4</w:t>
      </w:r>
      <w:r w:rsidR="007C442D">
        <w:rPr>
          <w:lang w:eastAsia="en-US"/>
        </w:rPr>
        <w:t>.</w:t>
      </w:r>
      <w:r w:rsidR="002A1B2B">
        <w:rPr>
          <w:lang w:eastAsia="en-US"/>
        </w:rPr>
        <w:t xml:space="preserve"> </w:t>
      </w:r>
      <w:r w:rsidR="008C45F0">
        <w:rPr>
          <w:lang w:eastAsia="en-US"/>
        </w:rPr>
        <w:t xml:space="preserve">Note that in [2], </w:t>
      </w:r>
      <w:r w:rsidR="00436B34">
        <w:rPr>
          <w:lang w:eastAsia="en-US"/>
        </w:rPr>
        <w:t xml:space="preserve">it </w:t>
      </w:r>
      <w:r w:rsidR="002A1B2B">
        <w:rPr>
          <w:lang w:eastAsia="en-US"/>
        </w:rPr>
        <w:t>claims</w:t>
      </w:r>
      <w:r w:rsidR="00436B34">
        <w:rPr>
          <w:lang w:eastAsia="en-US"/>
        </w:rPr>
        <w:t xml:space="preserve"> that with </w:t>
      </w:r>
      <w:r w:rsidR="008C45F0">
        <w:rPr>
          <w:lang w:eastAsia="en-US"/>
        </w:rPr>
        <w:t>the concept of ‘TCI</w:t>
      </w:r>
      <w:r w:rsidR="00934E3C">
        <w:rPr>
          <w:lang w:eastAsia="en-US"/>
        </w:rPr>
        <w:t>-</w:t>
      </w:r>
      <w:r w:rsidR="008C45F0">
        <w:rPr>
          <w:lang w:eastAsia="en-US"/>
        </w:rPr>
        <w:t>state pool’</w:t>
      </w:r>
      <w:r w:rsidR="00436B34">
        <w:rPr>
          <w:lang w:eastAsia="en-US"/>
        </w:rPr>
        <w:t xml:space="preserve"> TRP specific power control can be implicitly </w:t>
      </w:r>
      <w:r w:rsidR="002A1B2B">
        <w:rPr>
          <w:lang w:eastAsia="en-US"/>
        </w:rPr>
        <w:t>realized from RAN1 perspective</w:t>
      </w:r>
      <w:r w:rsidR="00436B34">
        <w:rPr>
          <w:lang w:eastAsia="en-US"/>
        </w:rPr>
        <w:t>.</w:t>
      </w:r>
    </w:p>
    <w:p w14:paraId="03690E6E" w14:textId="3F445CFC" w:rsidR="00602F89" w:rsidRDefault="00602F89" w:rsidP="00602F89">
      <w:pPr>
        <w:jc w:val="center"/>
        <w:rPr>
          <w:lang w:eastAsia="en-US"/>
        </w:rPr>
      </w:pPr>
      <w:r>
        <w:rPr>
          <w:noProof/>
          <w:lang w:val="en-US"/>
        </w:rPr>
        <w:lastRenderedPageBreak/>
        <w:drawing>
          <wp:inline distT="0" distB="0" distL="0" distR="0" wp14:anchorId="3CAFF2C2" wp14:editId="4650AF85">
            <wp:extent cx="3740308" cy="2544620"/>
            <wp:effectExtent l="114300" t="95250" r="107950" b="1035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1062" cy="2551937"/>
                    </a:xfrm>
                    <a:prstGeom prst="rect">
                      <a:avLst/>
                    </a:prstGeom>
                    <a:effectLst>
                      <a:outerShdw blurRad="63500" sx="102000" sy="102000" algn="ctr" rotWithShape="0">
                        <a:prstClr val="black">
                          <a:alpha val="40000"/>
                        </a:prstClr>
                      </a:outerShdw>
                    </a:effectLst>
                  </pic:spPr>
                </pic:pic>
              </a:graphicData>
            </a:graphic>
          </wp:inline>
        </w:drawing>
      </w:r>
    </w:p>
    <w:p w14:paraId="07700CC9" w14:textId="10159431" w:rsidR="00934E3C" w:rsidRDefault="00934E3C" w:rsidP="00710091">
      <w:pPr>
        <w:jc w:val="both"/>
        <w:rPr>
          <w:lang w:eastAsia="en-US"/>
        </w:rPr>
      </w:pPr>
      <w:r>
        <w:rPr>
          <w:lang w:eastAsia="en-US"/>
        </w:rPr>
        <w:t>Learning from RAN1 discussion, i</w:t>
      </w:r>
      <w:r w:rsidR="00F10710">
        <w:rPr>
          <w:lang w:eastAsia="en-US"/>
        </w:rPr>
        <w:t>t appears that such TCI pool</w:t>
      </w:r>
      <w:r w:rsidR="00476E3E">
        <w:rPr>
          <w:lang w:eastAsia="en-US"/>
        </w:rPr>
        <w:t xml:space="preserve"> concept</w:t>
      </w:r>
      <w:r w:rsidR="00F10710">
        <w:rPr>
          <w:lang w:eastAsia="en-US"/>
        </w:rPr>
        <w:t xml:space="preserve"> </w:t>
      </w:r>
      <w:r w:rsidR="00476E3E">
        <w:rPr>
          <w:lang w:eastAsia="en-US"/>
        </w:rPr>
        <w:t xml:space="preserve">would be essentially the same as </w:t>
      </w:r>
      <w:r w:rsidR="00F10710">
        <w:rPr>
          <w:lang w:eastAsia="en-US"/>
        </w:rPr>
        <w:t>the specified TCI-state list</w:t>
      </w:r>
      <w:r>
        <w:rPr>
          <w:lang w:eastAsia="en-US"/>
        </w:rPr>
        <w:t>. But as excerpted from [3], the following highlighted conclusion shows that RAN1 will not consider RRC-configured per-TRP TCI-state list in Rel-18.</w:t>
      </w:r>
    </w:p>
    <w:p w14:paraId="4CD677CB" w14:textId="5A40E7ED" w:rsidR="008C66CB" w:rsidRDefault="00934E3C" w:rsidP="00934E3C">
      <w:pPr>
        <w:jc w:val="center"/>
        <w:rPr>
          <w:lang w:eastAsia="en-US"/>
        </w:rPr>
      </w:pPr>
      <w:r>
        <w:rPr>
          <w:noProof/>
          <w:lang w:val="en-US"/>
        </w:rPr>
        <w:drawing>
          <wp:inline distT="0" distB="0" distL="0" distR="0" wp14:anchorId="5877E5BA" wp14:editId="0AB4EEFC">
            <wp:extent cx="4453696" cy="959478"/>
            <wp:effectExtent l="114300" t="76200" r="118745" b="698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71760" cy="963370"/>
                    </a:xfrm>
                    <a:prstGeom prst="rect">
                      <a:avLst/>
                    </a:prstGeom>
                    <a:effectLst>
                      <a:outerShdw blurRad="63500" sx="102000" sy="102000" algn="ctr" rotWithShape="0">
                        <a:prstClr val="black">
                          <a:alpha val="40000"/>
                        </a:prstClr>
                      </a:outerShdw>
                    </a:effectLst>
                  </pic:spPr>
                </pic:pic>
              </a:graphicData>
            </a:graphic>
          </wp:inline>
        </w:drawing>
      </w:r>
    </w:p>
    <w:p w14:paraId="7181958D" w14:textId="281DFF1C" w:rsidR="00E15CCE" w:rsidRDefault="00F10710" w:rsidP="00F10710">
      <w:pPr>
        <w:jc w:val="both"/>
        <w:rPr>
          <w:b/>
          <w:i/>
        </w:rPr>
      </w:pPr>
      <w:r>
        <w:rPr>
          <w:b/>
          <w:i/>
        </w:rPr>
        <w:t>Observation</w:t>
      </w:r>
      <w:r w:rsidRPr="0056168B">
        <w:rPr>
          <w:b/>
          <w:i/>
        </w:rPr>
        <w:t xml:space="preserve"> </w:t>
      </w:r>
      <w:r>
        <w:rPr>
          <w:b/>
          <w:i/>
        </w:rPr>
        <w:t>1</w:t>
      </w:r>
      <w:r w:rsidRPr="0056168B">
        <w:rPr>
          <w:b/>
          <w:i/>
        </w:rPr>
        <w:t>:</w:t>
      </w:r>
      <w:r>
        <w:rPr>
          <w:b/>
          <w:i/>
        </w:rPr>
        <w:t xml:space="preserve"> </w:t>
      </w:r>
      <w:r w:rsidR="00E15CCE">
        <w:rPr>
          <w:b/>
          <w:i/>
        </w:rPr>
        <w:t xml:space="preserve">If using ‘TCI-state pool’ to differentiate two TRP-panel links can be clarified as it is </w:t>
      </w:r>
      <w:r w:rsidR="00E15CCE" w:rsidRPr="00D3259B">
        <w:rPr>
          <w:b/>
          <w:i/>
        </w:rPr>
        <w:t>essentially the same as</w:t>
      </w:r>
      <w:r w:rsidR="00E15CCE" w:rsidRPr="00E15CCE">
        <w:rPr>
          <w:b/>
          <w:i/>
        </w:rPr>
        <w:t xml:space="preserve"> </w:t>
      </w:r>
      <w:r w:rsidR="00E15CCE">
        <w:rPr>
          <w:b/>
          <w:i/>
        </w:rPr>
        <w:t xml:space="preserve">RRC-configured per-TRP TCI-state list, RAN1 has concluded not to consider it in Rel-18.   </w:t>
      </w:r>
    </w:p>
    <w:p w14:paraId="38774178" w14:textId="5F874143" w:rsidR="00705F20" w:rsidRDefault="002B7587" w:rsidP="00710091">
      <w:pPr>
        <w:jc w:val="both"/>
        <w:rPr>
          <w:lang w:eastAsia="en-US"/>
        </w:rPr>
      </w:pPr>
      <w:r>
        <w:rPr>
          <w:lang w:eastAsia="en-US"/>
        </w:rPr>
        <w:t>However, following highlighted RAN1 agreements from [4, 5] would mean that different SRS resource set will be utilized to distinguish “two panels” for STxMP operation for both single-DCI and multi-DCI.</w:t>
      </w:r>
    </w:p>
    <w:tbl>
      <w:tblPr>
        <w:tblStyle w:val="af8"/>
        <w:tblW w:w="0" w:type="auto"/>
        <w:tblLook w:val="04A0" w:firstRow="1" w:lastRow="0" w:firstColumn="1" w:lastColumn="0" w:noHBand="0" w:noVBand="1"/>
      </w:tblPr>
      <w:tblGrid>
        <w:gridCol w:w="9631"/>
      </w:tblGrid>
      <w:tr w:rsidR="00021201" w14:paraId="4572588A" w14:textId="77777777" w:rsidTr="00021201">
        <w:tc>
          <w:tcPr>
            <w:tcW w:w="9631" w:type="dxa"/>
          </w:tcPr>
          <w:p w14:paraId="0371D93C" w14:textId="77777777" w:rsidR="00821BF8" w:rsidRPr="00E27533" w:rsidRDefault="00821BF8" w:rsidP="00821BF8">
            <w:pPr>
              <w:rPr>
                <w:rFonts w:cs="Times"/>
                <w:b/>
                <w:bCs/>
                <w:highlight w:val="green"/>
                <w:lang w:val="en-CA"/>
              </w:rPr>
            </w:pPr>
            <w:r w:rsidRPr="00E27533">
              <w:rPr>
                <w:rFonts w:cs="Times"/>
                <w:b/>
                <w:bCs/>
                <w:highlight w:val="green"/>
                <w:lang w:val="en-CA"/>
              </w:rPr>
              <w:t>Agreement</w:t>
            </w:r>
          </w:p>
          <w:p w14:paraId="41A78898" w14:textId="77777777" w:rsidR="00821BF8" w:rsidRPr="00CF4908" w:rsidRDefault="00821BF8" w:rsidP="00CF4908">
            <w:pPr>
              <w:pStyle w:val="afd"/>
              <w:spacing w:before="0" w:beforeAutospacing="0" w:after="0" w:afterAutospacing="0"/>
              <w:rPr>
                <w:rFonts w:ascii="Times" w:hAnsi="Times" w:cs="Times"/>
                <w:b/>
                <w:sz w:val="20"/>
                <w:szCs w:val="20"/>
              </w:rPr>
            </w:pPr>
            <w:r w:rsidRPr="00CF4908">
              <w:rPr>
                <w:rStyle w:val="aff1"/>
                <w:rFonts w:ascii="Times" w:hAnsi="Times" w:cs="Times"/>
                <w:b w:val="0"/>
                <w:color w:val="000000"/>
                <w:sz w:val="20"/>
                <w:szCs w:val="20"/>
              </w:rPr>
              <w:t xml:space="preserve">For SDM scheme of single-DCI based STxMP PUSCH </w:t>
            </w:r>
          </w:p>
          <w:p w14:paraId="53301917" w14:textId="357D30DE" w:rsidR="00821BF8" w:rsidRPr="00CF4908" w:rsidRDefault="00821BF8" w:rsidP="00821BF8">
            <w:pPr>
              <w:numPr>
                <w:ilvl w:val="0"/>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 xml:space="preserve">Configure </w:t>
            </w:r>
            <w:r w:rsidRPr="00922F23">
              <w:rPr>
                <w:rStyle w:val="aff1"/>
                <w:rFonts w:eastAsia="Times New Roman" w:cs="Times"/>
                <w:b w:val="0"/>
                <w:highlight w:val="yellow"/>
              </w:rPr>
              <w:t>two SRS resource sets</w:t>
            </w:r>
            <w:r w:rsidRPr="00CF4908">
              <w:rPr>
                <w:rStyle w:val="aff1"/>
                <w:rFonts w:eastAsia="Times New Roman" w:cs="Times"/>
                <w:b w:val="0"/>
              </w:rPr>
              <w:t xml:space="preserve"> for CB or NCB.</w:t>
            </w:r>
            <w:r w:rsidRPr="00CF4908">
              <w:rPr>
                <w:rFonts w:eastAsia="Times New Roman" w:cs="Times"/>
                <w:b/>
              </w:rPr>
              <w:t xml:space="preserve"> </w:t>
            </w:r>
          </w:p>
          <w:p w14:paraId="773F7A71" w14:textId="654148E6" w:rsidR="00821BF8" w:rsidRPr="00CF4908" w:rsidRDefault="00CF4908" w:rsidP="00821BF8">
            <w:pPr>
              <w:numPr>
                <w:ilvl w:val="1"/>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FFS</w:t>
            </w:r>
            <w:r w:rsidR="00821BF8" w:rsidRPr="00CF4908">
              <w:rPr>
                <w:rStyle w:val="aff1"/>
                <w:rFonts w:eastAsia="Times New Roman" w:cs="Times"/>
                <w:b w:val="0"/>
              </w:rPr>
              <w:t>: These two SRS resource sets can have different number of SRS resources for codebook -based or non-codebook based.</w:t>
            </w:r>
          </w:p>
          <w:p w14:paraId="59494140" w14:textId="6E4E2BBF" w:rsidR="00821BF8" w:rsidRPr="00CF4908" w:rsidRDefault="00CF4908" w:rsidP="00821BF8">
            <w:pPr>
              <w:numPr>
                <w:ilvl w:val="0"/>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For codebook -based PUSCH</w:t>
            </w:r>
            <w:r w:rsidR="00821BF8" w:rsidRPr="00CF4908">
              <w:rPr>
                <w:rStyle w:val="aff1"/>
                <w:rFonts w:eastAsia="Times New Roman" w:cs="Times"/>
                <w:b w:val="0"/>
              </w:rPr>
              <w:t xml:space="preserve">, DCI indicates two TPMI fields, and each TPMI field separately indicates the precoding information and the number of layers conveyed over the SRS ports </w:t>
            </w:r>
            <w:r w:rsidR="00821BF8" w:rsidRPr="00256EDD">
              <w:rPr>
                <w:rStyle w:val="aff1"/>
                <w:rFonts w:eastAsia="Times New Roman" w:cs="Times"/>
                <w:b w:val="0"/>
              </w:rPr>
              <w:t xml:space="preserve">of the indicated SRS resource </w:t>
            </w:r>
            <w:r w:rsidR="00821BF8" w:rsidRPr="00CF4908">
              <w:rPr>
                <w:rStyle w:val="aff1"/>
                <w:rFonts w:eastAsia="Times New Roman" w:cs="Times"/>
                <w:b w:val="0"/>
              </w:rPr>
              <w:t xml:space="preserve">in each SRS resource set. </w:t>
            </w:r>
          </w:p>
          <w:p w14:paraId="6A592C5C" w14:textId="3F0B7466" w:rsidR="00821BF8" w:rsidRPr="00CF4908" w:rsidRDefault="00821BF8" w:rsidP="00821BF8">
            <w:pPr>
              <w:numPr>
                <w:ilvl w:val="0"/>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For non-codebook based PUSCH and codebook -base</w:t>
            </w:r>
            <w:r w:rsidR="00CF4908" w:rsidRPr="00CF4908">
              <w:rPr>
                <w:rStyle w:val="aff1"/>
                <w:rFonts w:eastAsia="Times New Roman" w:cs="Times"/>
                <w:b w:val="0"/>
              </w:rPr>
              <w:t>d PUSCH</w:t>
            </w:r>
            <w:r w:rsidRPr="00CF4908">
              <w:rPr>
                <w:rStyle w:val="aff1"/>
                <w:rFonts w:eastAsia="Times New Roman" w:cs="Times"/>
                <w:b w:val="0"/>
              </w:rPr>
              <w:t xml:space="preserve">, DCI indicates two SRI </w:t>
            </w:r>
            <w:proofErr w:type="gramStart"/>
            <w:r w:rsidRPr="00CF4908">
              <w:rPr>
                <w:rStyle w:val="aff1"/>
                <w:rFonts w:eastAsia="Times New Roman" w:cs="Times"/>
                <w:b w:val="0"/>
              </w:rPr>
              <w:t>fields</w:t>
            </w:r>
            <w:proofErr w:type="gramEnd"/>
            <w:r w:rsidRPr="00CF4908">
              <w:rPr>
                <w:rStyle w:val="aff1"/>
                <w:rFonts w:eastAsia="Times New Roman" w:cs="Times"/>
                <w:b w:val="0"/>
              </w:rPr>
              <w:t xml:space="preserve"> and each field indicates SRS resource(s) for each SRS resource set separately.</w:t>
            </w:r>
            <w:r w:rsidRPr="00CF4908">
              <w:rPr>
                <w:rFonts w:eastAsia="Times New Roman" w:cs="Times"/>
                <w:b/>
              </w:rPr>
              <w:t xml:space="preserve"> </w:t>
            </w:r>
          </w:p>
          <w:p w14:paraId="33EAD16C" w14:textId="2ACFE999" w:rsidR="00821BF8" w:rsidRPr="00922F23" w:rsidRDefault="00821BF8" w:rsidP="00821BF8">
            <w:pPr>
              <w:numPr>
                <w:ilvl w:val="1"/>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FFS : For codebook -based PUSCH , the two SRS resources indicated by the two SRI fields can have different number of SRS ports</w:t>
            </w:r>
          </w:p>
          <w:p w14:paraId="5270E464" w14:textId="77777777" w:rsidR="00821BF8" w:rsidRPr="00E27533" w:rsidRDefault="00821BF8" w:rsidP="00821BF8">
            <w:pPr>
              <w:rPr>
                <w:rFonts w:cs="Times"/>
                <w:b/>
                <w:bCs/>
                <w:highlight w:val="green"/>
                <w:lang w:val="en-CA"/>
              </w:rPr>
            </w:pPr>
            <w:r w:rsidRPr="00E27533">
              <w:rPr>
                <w:rFonts w:cs="Times"/>
                <w:b/>
                <w:bCs/>
                <w:highlight w:val="green"/>
                <w:lang w:val="en-CA"/>
              </w:rPr>
              <w:t>Agreement</w:t>
            </w:r>
          </w:p>
          <w:p w14:paraId="4FF6A718" w14:textId="77777777" w:rsidR="00821BF8" w:rsidRPr="00CF4908" w:rsidRDefault="00821BF8" w:rsidP="00821BF8">
            <w:pPr>
              <w:rPr>
                <w:rFonts w:cs="Times"/>
                <w:bCs/>
              </w:rPr>
            </w:pPr>
            <w:r w:rsidRPr="00CF4908">
              <w:rPr>
                <w:rFonts w:cs="Times"/>
                <w:bCs/>
              </w:rPr>
              <w:t>Regarding the TPMI/SRI indication for multi-DCI based STxMP PUSCH+PUSCH:</w:t>
            </w:r>
          </w:p>
          <w:p w14:paraId="44752A98" w14:textId="77777777" w:rsidR="00821BF8" w:rsidRPr="00CF4908" w:rsidRDefault="00821BF8" w:rsidP="00821BF8">
            <w:pPr>
              <w:pStyle w:val="aff6"/>
              <w:widowControl/>
              <w:numPr>
                <w:ilvl w:val="0"/>
                <w:numId w:val="37"/>
              </w:numPr>
              <w:ind w:firstLineChars="0"/>
              <w:rPr>
                <w:rFonts w:ascii="Times New Roman" w:hAnsi="Times New Roman"/>
                <w:bCs/>
                <w:sz w:val="20"/>
                <w:szCs w:val="20"/>
              </w:rPr>
            </w:pPr>
            <w:r w:rsidRPr="00CF4908">
              <w:rPr>
                <w:rFonts w:ascii="Times New Roman" w:hAnsi="Times New Roman"/>
                <w:bCs/>
                <w:sz w:val="20"/>
                <w:szCs w:val="20"/>
              </w:rPr>
              <w:t xml:space="preserve">Configure </w:t>
            </w:r>
            <w:r w:rsidRPr="00922F23">
              <w:rPr>
                <w:rFonts w:ascii="Times New Roman" w:hAnsi="Times New Roman"/>
                <w:bCs/>
                <w:sz w:val="20"/>
                <w:szCs w:val="20"/>
                <w:highlight w:val="yellow"/>
              </w:rPr>
              <w:t>two SRS resource sets</w:t>
            </w:r>
            <w:r w:rsidRPr="00CF4908">
              <w:rPr>
                <w:rFonts w:ascii="Times New Roman" w:hAnsi="Times New Roman"/>
                <w:bCs/>
                <w:sz w:val="20"/>
                <w:szCs w:val="20"/>
              </w:rPr>
              <w:t xml:space="preserve"> for CB or NCB.</w:t>
            </w:r>
          </w:p>
          <w:p w14:paraId="5DEFF21E"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 xml:space="preserve">FFS: Whether/how to associate </w:t>
            </w:r>
            <w:proofErr w:type="spellStart"/>
            <w:r w:rsidRPr="00CF4908">
              <w:rPr>
                <w:rFonts w:ascii="Times New Roman" w:hAnsi="Times New Roman"/>
                <w:bCs/>
                <w:sz w:val="20"/>
                <w:szCs w:val="20"/>
              </w:rPr>
              <w:t>coresetPoolIndex</w:t>
            </w:r>
            <w:proofErr w:type="spellEnd"/>
            <w:r w:rsidRPr="00CF4908">
              <w:rPr>
                <w:rFonts w:ascii="Times New Roman" w:hAnsi="Times New Roman"/>
                <w:bCs/>
                <w:sz w:val="20"/>
                <w:szCs w:val="20"/>
              </w:rPr>
              <w:t xml:space="preserve"> with SRS resource set implicitly or explicitly.</w:t>
            </w:r>
          </w:p>
          <w:p w14:paraId="59284E20"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FFS: the maximal number of configured/indicated SRS resources in each set for NCB/CB</w:t>
            </w:r>
          </w:p>
          <w:p w14:paraId="7A4A0AAC"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FFS: the maximal number of SRS ports in each set for CB.</w:t>
            </w:r>
          </w:p>
          <w:p w14:paraId="05885BA7" w14:textId="77777777" w:rsidR="00821BF8" w:rsidRPr="00CF4908" w:rsidRDefault="00821BF8" w:rsidP="00821BF8">
            <w:pPr>
              <w:pStyle w:val="aff6"/>
              <w:widowControl/>
              <w:numPr>
                <w:ilvl w:val="0"/>
                <w:numId w:val="37"/>
              </w:numPr>
              <w:ind w:firstLineChars="0"/>
              <w:rPr>
                <w:rFonts w:ascii="Times New Roman" w:hAnsi="Times New Roman"/>
                <w:bCs/>
                <w:sz w:val="20"/>
                <w:szCs w:val="20"/>
              </w:rPr>
            </w:pPr>
            <w:r w:rsidRPr="00CF4908">
              <w:rPr>
                <w:rFonts w:ascii="Times New Roman" w:hAnsi="Times New Roman"/>
                <w:bCs/>
                <w:sz w:val="20"/>
                <w:szCs w:val="20"/>
              </w:rPr>
              <w:t xml:space="preserve">FFS: Separate codebooks and separate </w:t>
            </w:r>
            <w:proofErr w:type="spellStart"/>
            <w:r w:rsidRPr="00CF4908">
              <w:rPr>
                <w:rFonts w:ascii="Times New Roman" w:hAnsi="Times New Roman"/>
                <w:bCs/>
                <w:sz w:val="20"/>
                <w:szCs w:val="20"/>
              </w:rPr>
              <w:t>maxRanks</w:t>
            </w:r>
            <w:proofErr w:type="spellEnd"/>
            <w:r w:rsidRPr="00CF4908">
              <w:rPr>
                <w:rFonts w:ascii="Times New Roman" w:hAnsi="Times New Roman"/>
                <w:bCs/>
                <w:sz w:val="20"/>
                <w:szCs w:val="20"/>
              </w:rPr>
              <w:t xml:space="preserve"> are configured for different SRS resource sets.</w:t>
            </w:r>
          </w:p>
          <w:p w14:paraId="5B30D030" w14:textId="77777777" w:rsidR="00821BF8" w:rsidRPr="00CF4908" w:rsidRDefault="00821BF8" w:rsidP="00821BF8">
            <w:pPr>
              <w:pStyle w:val="aff6"/>
              <w:widowControl/>
              <w:numPr>
                <w:ilvl w:val="0"/>
                <w:numId w:val="37"/>
              </w:numPr>
              <w:ind w:firstLineChars="0"/>
              <w:rPr>
                <w:rFonts w:ascii="Times New Roman" w:hAnsi="Times New Roman"/>
                <w:bCs/>
                <w:sz w:val="20"/>
                <w:szCs w:val="20"/>
              </w:rPr>
            </w:pPr>
            <w:r w:rsidRPr="00CF4908">
              <w:rPr>
                <w:rFonts w:ascii="Times New Roman" w:hAnsi="Times New Roman"/>
                <w:bCs/>
                <w:sz w:val="20"/>
                <w:szCs w:val="20"/>
              </w:rPr>
              <w:t>For type 1 CG-PUSCH (if supported), FFS how to associate the PUSCH with one TRP</w:t>
            </w:r>
          </w:p>
          <w:p w14:paraId="7AAF95F4"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 xml:space="preserve">e.g., configure a </w:t>
            </w:r>
            <w:proofErr w:type="spellStart"/>
            <w:r w:rsidRPr="00CF4908">
              <w:rPr>
                <w:rFonts w:ascii="Times New Roman" w:hAnsi="Times New Roman"/>
                <w:bCs/>
                <w:sz w:val="20"/>
                <w:szCs w:val="20"/>
              </w:rPr>
              <w:t>coresetPoolIndex</w:t>
            </w:r>
            <w:proofErr w:type="spellEnd"/>
            <w:r w:rsidRPr="00CF4908">
              <w:rPr>
                <w:rFonts w:ascii="Times New Roman" w:hAnsi="Times New Roman"/>
                <w:bCs/>
                <w:sz w:val="20"/>
                <w:szCs w:val="20"/>
              </w:rPr>
              <w:t xml:space="preserve"> value in a type 1 CG-PUSCH</w:t>
            </w:r>
          </w:p>
          <w:p w14:paraId="1434B78D" w14:textId="788FF7D9" w:rsidR="00021201" w:rsidRPr="00CF4908" w:rsidRDefault="00821BF8" w:rsidP="00710091">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e.g., use a single CG to configure two type 1 CG PUSCHs for STxMP PUSCH+PUSCH</w:t>
            </w:r>
          </w:p>
        </w:tc>
      </w:tr>
    </w:tbl>
    <w:p w14:paraId="4C221F73" w14:textId="0178ED99" w:rsidR="005E32A6" w:rsidRDefault="000A630C" w:rsidP="00710091">
      <w:pPr>
        <w:jc w:val="both"/>
        <w:rPr>
          <w:b/>
          <w:i/>
        </w:rPr>
      </w:pPr>
      <w:r>
        <w:rPr>
          <w:b/>
          <w:i/>
        </w:rPr>
        <w:lastRenderedPageBreak/>
        <w:t>Observation</w:t>
      </w:r>
      <w:r w:rsidRPr="0056168B">
        <w:rPr>
          <w:b/>
          <w:i/>
        </w:rPr>
        <w:t xml:space="preserve"> </w:t>
      </w:r>
      <w:r w:rsidR="002B7587">
        <w:rPr>
          <w:b/>
          <w:i/>
        </w:rPr>
        <w:t>2</w:t>
      </w:r>
      <w:r w:rsidRPr="0056168B">
        <w:rPr>
          <w:b/>
          <w:i/>
        </w:rPr>
        <w:t>:</w:t>
      </w:r>
      <w:r>
        <w:rPr>
          <w:b/>
          <w:i/>
        </w:rPr>
        <w:t xml:space="preserve"> RAN1 </w:t>
      </w:r>
      <w:r w:rsidR="00F77C96">
        <w:rPr>
          <w:b/>
          <w:i/>
        </w:rPr>
        <w:t>agreed</w:t>
      </w:r>
      <w:r w:rsidR="008418CB">
        <w:rPr>
          <w:b/>
          <w:i/>
        </w:rPr>
        <w:t xml:space="preserve"> on using </w:t>
      </w:r>
      <w:r w:rsidR="005B5293">
        <w:rPr>
          <w:b/>
          <w:i/>
        </w:rPr>
        <w:t>different SRS resource set to distinguish</w:t>
      </w:r>
      <w:r w:rsidR="00742E6D">
        <w:rPr>
          <w:b/>
          <w:i/>
        </w:rPr>
        <w:t xml:space="preserve"> </w:t>
      </w:r>
      <w:r w:rsidR="00742E6D">
        <w:rPr>
          <w:lang w:eastAsia="en-US"/>
        </w:rPr>
        <w:t>“</w:t>
      </w:r>
      <w:r w:rsidR="00742E6D" w:rsidRPr="00742E6D">
        <w:rPr>
          <w:b/>
          <w:i/>
        </w:rPr>
        <w:t>two panels” for STxMP operation for both single-DCI and multi-DCI</w:t>
      </w:r>
      <w:r w:rsidR="004551C5">
        <w:rPr>
          <w:b/>
          <w:i/>
        </w:rPr>
        <w:t>.</w:t>
      </w:r>
      <w:r w:rsidR="00D72724">
        <w:rPr>
          <w:b/>
          <w:i/>
        </w:rPr>
        <w:t xml:space="preserve"> </w:t>
      </w:r>
    </w:p>
    <w:p w14:paraId="48035F51" w14:textId="6C61DB7E" w:rsidR="00EB3316" w:rsidRDefault="004551C5" w:rsidP="00710091">
      <w:pPr>
        <w:jc w:val="both"/>
        <w:rPr>
          <w:lang w:eastAsia="en-US"/>
        </w:rPr>
      </w:pPr>
      <w:r>
        <w:rPr>
          <w:lang w:eastAsia="en-US"/>
        </w:rPr>
        <w:t>In conclusion,</w:t>
      </w:r>
      <w:r w:rsidR="00904ED9">
        <w:rPr>
          <w:lang w:eastAsia="en-US"/>
        </w:rPr>
        <w:t xml:space="preserve"> we think </w:t>
      </w:r>
      <w:r w:rsidR="002B7587">
        <w:rPr>
          <w:lang w:eastAsia="en-US"/>
        </w:rPr>
        <w:t>that using TCI-</w:t>
      </w:r>
      <w:r w:rsidR="00F77C96">
        <w:rPr>
          <w:lang w:eastAsia="en-US"/>
        </w:rPr>
        <w:t>state</w:t>
      </w:r>
      <w:r w:rsidR="002B7587">
        <w:rPr>
          <w:lang w:eastAsia="en-US"/>
        </w:rPr>
        <w:t xml:space="preserve"> or TCI-state pool</w:t>
      </w:r>
      <w:r w:rsidR="00F77C96">
        <w:rPr>
          <w:lang w:eastAsia="en-US"/>
        </w:rPr>
        <w:t xml:space="preserve"> </w:t>
      </w:r>
      <w:r w:rsidR="002B7587">
        <w:rPr>
          <w:lang w:eastAsia="en-US"/>
        </w:rPr>
        <w:t>would be</w:t>
      </w:r>
      <w:r w:rsidR="00F77C96">
        <w:rPr>
          <w:lang w:eastAsia="en-US"/>
        </w:rPr>
        <w:t xml:space="preserve"> inconsistent with RAN1 agreement</w:t>
      </w:r>
      <w:r w:rsidR="005E32A6">
        <w:rPr>
          <w:lang w:eastAsia="en-US"/>
        </w:rPr>
        <w:t>.</w:t>
      </w:r>
      <w:r w:rsidR="00F77C96">
        <w:rPr>
          <w:lang w:eastAsia="en-US"/>
        </w:rPr>
        <w:t xml:space="preserve"> </w:t>
      </w:r>
      <w:r w:rsidR="005E32A6">
        <w:rPr>
          <w:lang w:eastAsia="en-US"/>
        </w:rPr>
        <w:t>S</w:t>
      </w:r>
      <w:r w:rsidR="00F77C96">
        <w:rPr>
          <w:lang w:eastAsia="en-US"/>
        </w:rPr>
        <w:t xml:space="preserve">o </w:t>
      </w:r>
      <w:r w:rsidR="00904ED9">
        <w:rPr>
          <w:lang w:eastAsia="en-US"/>
        </w:rPr>
        <w:t>it is more straightforward to represent the “per-panel” concept by per SRS resource set</w:t>
      </w:r>
      <w:r w:rsidR="00992BC9">
        <w:rPr>
          <w:lang w:eastAsia="en-US"/>
        </w:rPr>
        <w:t xml:space="preserve"> in RAN4 specification</w:t>
      </w:r>
      <w:r w:rsidR="00904ED9">
        <w:rPr>
          <w:lang w:eastAsia="en-US"/>
        </w:rPr>
        <w:t>.</w:t>
      </w:r>
    </w:p>
    <w:p w14:paraId="0102CE63" w14:textId="53B17C96" w:rsidR="00146DAD" w:rsidRPr="002B7587" w:rsidRDefault="007C56E8" w:rsidP="00057FE2">
      <w:pPr>
        <w:jc w:val="both"/>
        <w:rPr>
          <w:b/>
          <w:i/>
        </w:rPr>
      </w:pPr>
      <w:r>
        <w:rPr>
          <w:b/>
          <w:i/>
        </w:rPr>
        <w:t>Proposal</w:t>
      </w:r>
      <w:r w:rsidR="00D414EE">
        <w:rPr>
          <w:b/>
          <w:i/>
        </w:rPr>
        <w:t xml:space="preserve"> 1</w:t>
      </w:r>
      <w:r w:rsidR="008A5C5E" w:rsidRPr="0056168B">
        <w:rPr>
          <w:b/>
          <w:i/>
        </w:rPr>
        <w:t>:</w:t>
      </w:r>
      <w:r w:rsidR="008A5C5E">
        <w:rPr>
          <w:b/>
          <w:i/>
        </w:rPr>
        <w:t xml:space="preserve"> RAN4 </w:t>
      </w:r>
      <w:r w:rsidR="00A577A5">
        <w:rPr>
          <w:b/>
          <w:i/>
        </w:rPr>
        <w:t>consider</w:t>
      </w:r>
      <w:r w:rsidR="008045E2">
        <w:rPr>
          <w:b/>
          <w:i/>
        </w:rPr>
        <w:t>s</w:t>
      </w:r>
      <w:r w:rsidR="00A577A5">
        <w:rPr>
          <w:b/>
          <w:i/>
        </w:rPr>
        <w:t xml:space="preserve"> to use “per SRS resource set” as the solution to implement “per-panel”</w:t>
      </w:r>
      <w:r w:rsidR="008A5C5E">
        <w:rPr>
          <w:b/>
          <w:i/>
        </w:rPr>
        <w:t xml:space="preserve"> </w:t>
      </w:r>
      <w:r w:rsidR="00A577A5">
        <w:rPr>
          <w:b/>
          <w:i/>
        </w:rPr>
        <w:t>configured transmitted power</w:t>
      </w:r>
      <w:r w:rsidR="008045E2">
        <w:rPr>
          <w:b/>
          <w:i/>
        </w:rPr>
        <w:t xml:space="preserve"> for STxMP operation</w:t>
      </w:r>
      <w:r w:rsidR="00A577A5">
        <w:rPr>
          <w:b/>
          <w:i/>
        </w:rPr>
        <w:t>.</w:t>
      </w:r>
    </w:p>
    <w:p w14:paraId="63B4588C" w14:textId="1D3BBA02" w:rsidR="00146DAD" w:rsidRDefault="00146DAD" w:rsidP="00057FE2">
      <w:pPr>
        <w:jc w:val="both"/>
        <w:rPr>
          <w:lang w:eastAsia="en-US"/>
        </w:rPr>
      </w:pPr>
      <w:r>
        <w:rPr>
          <w:lang w:eastAsia="en-US"/>
        </w:rPr>
        <w:t xml:space="preserve">For another open issue about </w:t>
      </w:r>
      <w:r w:rsidR="00B62E57">
        <w:rPr>
          <w:lang w:eastAsia="en-US"/>
        </w:rPr>
        <w:t xml:space="preserve">whether or how to consider per panel </w:t>
      </w:r>
      <w:r>
        <w:rPr>
          <w:lang w:eastAsia="en-US"/>
        </w:rPr>
        <w:t>MPR/A-MPR</w:t>
      </w:r>
      <w:r w:rsidR="00B62E57">
        <w:rPr>
          <w:lang w:eastAsia="en-US"/>
        </w:rPr>
        <w:t xml:space="preserve"> for STxMP</w:t>
      </w:r>
      <w:r>
        <w:rPr>
          <w:lang w:eastAsia="en-US"/>
        </w:rPr>
        <w:t xml:space="preserve">, </w:t>
      </w:r>
      <w:r w:rsidR="00B62E57">
        <w:rPr>
          <w:lang w:eastAsia="en-US"/>
        </w:rPr>
        <w:t>one solution</w:t>
      </w:r>
      <w:r>
        <w:rPr>
          <w:lang w:eastAsia="en-US"/>
        </w:rPr>
        <w:t xml:space="preserve"> has been proposed in [</w:t>
      </w:r>
      <w:r w:rsidR="00B62E57">
        <w:rPr>
          <w:lang w:eastAsia="en-US"/>
        </w:rPr>
        <w:t>6</w:t>
      </w:r>
      <w:r>
        <w:rPr>
          <w:lang w:eastAsia="en-US"/>
        </w:rPr>
        <w:t xml:space="preserve">] </w:t>
      </w:r>
      <w:r w:rsidR="00B62E57">
        <w:rPr>
          <w:lang w:eastAsia="en-US"/>
        </w:rPr>
        <w:t>as below.</w:t>
      </w:r>
    </w:p>
    <w:p w14:paraId="175BB186" w14:textId="158FFC9B" w:rsidR="00B62E57" w:rsidRDefault="00B62E57" w:rsidP="00B62E57">
      <w:pPr>
        <w:jc w:val="center"/>
        <w:rPr>
          <w:lang w:eastAsia="en-US"/>
        </w:rPr>
      </w:pPr>
      <w:r>
        <w:rPr>
          <w:noProof/>
          <w:lang w:val="en-US"/>
        </w:rPr>
        <w:drawing>
          <wp:inline distT="0" distB="0" distL="0" distR="0" wp14:anchorId="4FDA730A" wp14:editId="42C4E7EB">
            <wp:extent cx="4983801" cy="601716"/>
            <wp:effectExtent l="114300" t="76200" r="102870" b="844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3698" cy="606533"/>
                    </a:xfrm>
                    <a:prstGeom prst="rect">
                      <a:avLst/>
                    </a:prstGeom>
                    <a:effectLst>
                      <a:outerShdw blurRad="63500" sx="102000" sy="102000" algn="ctr" rotWithShape="0">
                        <a:prstClr val="black">
                          <a:alpha val="40000"/>
                        </a:prstClr>
                      </a:outerShdw>
                    </a:effectLst>
                  </pic:spPr>
                </pic:pic>
              </a:graphicData>
            </a:graphic>
          </wp:inline>
        </w:drawing>
      </w:r>
    </w:p>
    <w:p w14:paraId="293533EA" w14:textId="6A8268EB" w:rsidR="0085418E" w:rsidRDefault="00D17E65" w:rsidP="00057FE2">
      <w:pPr>
        <w:jc w:val="both"/>
        <w:rPr>
          <w:lang w:eastAsia="en-US"/>
        </w:rPr>
      </w:pPr>
      <w:r>
        <w:rPr>
          <w:lang w:eastAsia="en-US"/>
        </w:rPr>
        <w:t xml:space="preserve">It was concisely </w:t>
      </w:r>
      <w:r w:rsidR="00F61B67">
        <w:rPr>
          <w:lang w:eastAsia="en-US"/>
        </w:rPr>
        <w:t>demonstrated</w:t>
      </w:r>
      <w:r>
        <w:rPr>
          <w:lang w:eastAsia="en-US"/>
        </w:rPr>
        <w:t xml:space="preserve"> that such 3dB ‘alternative’ </w:t>
      </w:r>
      <w:r w:rsidR="00643EF6">
        <w:rPr>
          <w:lang w:eastAsia="en-US"/>
        </w:rPr>
        <w:t>MPR</w:t>
      </w:r>
      <w:r w:rsidR="00F61B67">
        <w:rPr>
          <w:lang w:eastAsia="en-US"/>
        </w:rPr>
        <w:t xml:space="preserve"> is necessary fo</w:t>
      </w:r>
      <w:r w:rsidR="008C7E39">
        <w:rPr>
          <w:lang w:eastAsia="en-US"/>
        </w:rPr>
        <w:t xml:space="preserve">r ‘equal TRP split’ case, in which the gNB </w:t>
      </w:r>
      <w:r w:rsidR="004908B3">
        <w:rPr>
          <w:lang w:eastAsia="en-US"/>
        </w:rPr>
        <w:t>would</w:t>
      </w:r>
      <w:r w:rsidR="008C7E39">
        <w:rPr>
          <w:lang w:eastAsia="en-US"/>
        </w:rPr>
        <w:t xml:space="preserve"> expect the UE to achieve </w:t>
      </w:r>
      <w:r w:rsidR="00D61A61">
        <w:rPr>
          <w:lang w:eastAsia="en-US"/>
        </w:rPr>
        <w:t xml:space="preserve">maximum </w:t>
      </w:r>
      <w:r w:rsidR="008C7E39">
        <w:rPr>
          <w:lang w:eastAsia="en-US"/>
        </w:rPr>
        <w:t>EIRP for both beam peak directions</w:t>
      </w:r>
      <w:r w:rsidR="007653A6">
        <w:rPr>
          <w:lang w:eastAsia="en-US"/>
        </w:rPr>
        <w:t xml:space="preserve"> under STxMP mode</w:t>
      </w:r>
      <w:r w:rsidR="00E610A0">
        <w:rPr>
          <w:lang w:eastAsia="en-US"/>
        </w:rPr>
        <w:t>,</w:t>
      </w:r>
      <w:r w:rsidR="005044C2">
        <w:rPr>
          <w:lang w:eastAsia="en-US"/>
        </w:rPr>
        <w:t xml:space="preserve"> </w:t>
      </w:r>
      <w:r w:rsidR="007653A6">
        <w:rPr>
          <w:lang w:eastAsia="en-US"/>
        </w:rPr>
        <w:t>while</w:t>
      </w:r>
      <w:r w:rsidR="005044C2">
        <w:rPr>
          <w:lang w:eastAsia="en-US"/>
        </w:rPr>
        <w:t xml:space="preserve"> it is still required for the UE to </w:t>
      </w:r>
      <w:r w:rsidR="00E610A0">
        <w:rPr>
          <w:lang w:eastAsia="en-US"/>
        </w:rPr>
        <w:t>comply with</w:t>
      </w:r>
      <w:r w:rsidR="005044C2">
        <w:rPr>
          <w:lang w:eastAsia="en-US"/>
        </w:rPr>
        <w:t xml:space="preserve"> the legacy per UE TRP limitation</w:t>
      </w:r>
      <w:r w:rsidR="007653A6">
        <w:rPr>
          <w:lang w:eastAsia="en-US"/>
        </w:rPr>
        <w:t xml:space="preserve"> as</w:t>
      </w:r>
      <w:r w:rsidR="00975EA1">
        <w:rPr>
          <w:lang w:eastAsia="en-US"/>
        </w:rPr>
        <w:t xml:space="preserve"> agreed by</w:t>
      </w:r>
      <w:r w:rsidR="007653A6">
        <w:rPr>
          <w:lang w:eastAsia="en-US"/>
        </w:rPr>
        <w:t xml:space="preserve"> RAN4</w:t>
      </w:r>
      <w:r w:rsidR="005044C2">
        <w:rPr>
          <w:lang w:eastAsia="en-US"/>
        </w:rPr>
        <w:t>.</w:t>
      </w:r>
      <w:r w:rsidR="00D61A61">
        <w:rPr>
          <w:lang w:eastAsia="en-US"/>
        </w:rPr>
        <w:t xml:space="preserve"> </w:t>
      </w:r>
    </w:p>
    <w:p w14:paraId="42F1CF37" w14:textId="4316A2E4" w:rsidR="0085418E" w:rsidRPr="00643EF6" w:rsidRDefault="0085418E" w:rsidP="00057FE2">
      <w:pPr>
        <w:jc w:val="both"/>
        <w:rPr>
          <w:b/>
          <w:i/>
        </w:rPr>
      </w:pPr>
      <w:r>
        <w:rPr>
          <w:b/>
          <w:i/>
        </w:rPr>
        <w:t>Observation</w:t>
      </w:r>
      <w:r w:rsidRPr="0056168B">
        <w:rPr>
          <w:b/>
          <w:i/>
        </w:rPr>
        <w:t xml:space="preserve"> </w:t>
      </w:r>
      <w:r>
        <w:rPr>
          <w:b/>
          <w:i/>
        </w:rPr>
        <w:t>3</w:t>
      </w:r>
      <w:r w:rsidRPr="0056168B">
        <w:rPr>
          <w:b/>
          <w:i/>
        </w:rPr>
        <w:t>:</w:t>
      </w:r>
      <w:r>
        <w:rPr>
          <w:b/>
          <w:i/>
        </w:rPr>
        <w:t xml:space="preserve"> When </w:t>
      </w:r>
      <w:r w:rsidR="00643EF6">
        <w:rPr>
          <w:b/>
          <w:i/>
        </w:rPr>
        <w:t xml:space="preserve">the gNB would expect the UE to </w:t>
      </w:r>
      <w:r w:rsidR="00643EF6" w:rsidRPr="00643EF6">
        <w:rPr>
          <w:b/>
          <w:i/>
        </w:rPr>
        <w:t>achieve maximum EIRP for both beam peak directions under STxMP mode</w:t>
      </w:r>
      <w:r>
        <w:rPr>
          <w:b/>
          <w:i/>
        </w:rPr>
        <w:t>,</w:t>
      </w:r>
      <w:r w:rsidR="00643EF6">
        <w:rPr>
          <w:b/>
          <w:i/>
        </w:rPr>
        <w:t xml:space="preserve"> 3dB </w:t>
      </w:r>
      <w:r w:rsidR="00643EF6" w:rsidRPr="00643EF6">
        <w:rPr>
          <w:b/>
          <w:i/>
        </w:rPr>
        <w:t xml:space="preserve">‘alternative’ MPR is necessary </w:t>
      </w:r>
      <w:r w:rsidR="00643EF6">
        <w:rPr>
          <w:b/>
          <w:i/>
        </w:rPr>
        <w:t xml:space="preserve">in case </w:t>
      </w:r>
      <w:r w:rsidR="00643EF6" w:rsidRPr="00643EF6">
        <w:rPr>
          <w:b/>
          <w:i/>
        </w:rPr>
        <w:t>the UE</w:t>
      </w:r>
      <w:r w:rsidR="00643EF6">
        <w:rPr>
          <w:b/>
          <w:i/>
        </w:rPr>
        <w:t xml:space="preserve"> </w:t>
      </w:r>
      <w:r w:rsidR="00A969F8">
        <w:rPr>
          <w:b/>
          <w:i/>
        </w:rPr>
        <w:t>is risky</w:t>
      </w:r>
      <w:r w:rsidR="00643EF6" w:rsidRPr="00643EF6">
        <w:rPr>
          <w:b/>
          <w:i/>
        </w:rPr>
        <w:t xml:space="preserve"> to comply with the legacy per UE TRP limitation</w:t>
      </w:r>
      <w:r w:rsidR="00BF2501">
        <w:rPr>
          <w:b/>
          <w:i/>
        </w:rPr>
        <w:t>.</w:t>
      </w:r>
      <w:r w:rsidR="00643EF6">
        <w:rPr>
          <w:lang w:eastAsia="en-US"/>
        </w:rPr>
        <w:t xml:space="preserve"> </w:t>
      </w:r>
      <w:r w:rsidR="00643EF6">
        <w:rPr>
          <w:b/>
          <w:i/>
        </w:rPr>
        <w:t xml:space="preserve"> </w:t>
      </w:r>
      <w:r>
        <w:rPr>
          <w:b/>
          <w:i/>
        </w:rPr>
        <w:t xml:space="preserve">  </w:t>
      </w:r>
    </w:p>
    <w:p w14:paraId="6BEE6495" w14:textId="762582AE" w:rsidR="002A68FF" w:rsidRDefault="00AF13D4" w:rsidP="00057FE2">
      <w:pPr>
        <w:jc w:val="both"/>
        <w:rPr>
          <w:lang w:eastAsia="en-US"/>
        </w:rPr>
      </w:pPr>
      <w:r>
        <w:rPr>
          <w:lang w:eastAsia="en-US"/>
        </w:rPr>
        <w:t>I</w:t>
      </w:r>
      <w:r w:rsidR="001358AB">
        <w:rPr>
          <w:lang w:eastAsia="en-US"/>
        </w:rPr>
        <w:t xml:space="preserve">n our view the proposed formula cannot fulfil the purpose. </w:t>
      </w:r>
      <w:r w:rsidR="002A68FF">
        <w:rPr>
          <w:lang w:eastAsia="en-US"/>
        </w:rPr>
        <w:t xml:space="preserve">For instance, </w:t>
      </w:r>
      <w:r w:rsidR="001553D2">
        <w:rPr>
          <w:lang w:eastAsia="en-US"/>
        </w:rPr>
        <w:t>2dB</w:t>
      </w:r>
      <w:r w:rsidR="002A68FF">
        <w:rPr>
          <w:lang w:eastAsia="en-US"/>
        </w:rPr>
        <w:t xml:space="preserve"> MPR</w:t>
      </w:r>
      <w:r w:rsidR="001553D2">
        <w:rPr>
          <w:lang w:eastAsia="en-US"/>
        </w:rPr>
        <w:t xml:space="preserve"> applies for edge RB allocation with QPSK DFT-s-OFDM waveform.</w:t>
      </w:r>
      <w:r w:rsidR="002A68FF">
        <w:rPr>
          <w:lang w:eastAsia="en-US"/>
        </w:rPr>
        <w:t xml:space="preserve"> (PC 4/5/6 share the same MPR requirement as for PC</w:t>
      </w:r>
      <w:r w:rsidR="001553D2">
        <w:rPr>
          <w:lang w:eastAsia="en-US"/>
        </w:rPr>
        <w:t>3</w:t>
      </w:r>
      <w:r w:rsidR="002A68FF">
        <w:rPr>
          <w:lang w:eastAsia="en-US"/>
        </w:rPr>
        <w:t>)</w:t>
      </w:r>
    </w:p>
    <w:p w14:paraId="090E47AF" w14:textId="0A8EFE74" w:rsidR="00C0357F" w:rsidRDefault="002A68FF" w:rsidP="002A68FF">
      <w:pPr>
        <w:jc w:val="center"/>
        <w:rPr>
          <w:lang w:eastAsia="en-US"/>
        </w:rPr>
      </w:pPr>
      <w:r>
        <w:rPr>
          <w:noProof/>
          <w:lang w:val="en-US"/>
        </w:rPr>
        <w:drawing>
          <wp:inline distT="0" distB="0" distL="0" distR="0" wp14:anchorId="1D0F1212" wp14:editId="485AC0D3">
            <wp:extent cx="3807970" cy="2487563"/>
            <wp:effectExtent l="114300" t="95250" r="116840" b="1035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5505" cy="2492485"/>
                    </a:xfrm>
                    <a:prstGeom prst="rect">
                      <a:avLst/>
                    </a:prstGeom>
                    <a:effectLst>
                      <a:outerShdw blurRad="63500" sx="102000" sy="102000" algn="ctr" rotWithShape="0">
                        <a:prstClr val="black">
                          <a:alpha val="40000"/>
                        </a:prstClr>
                      </a:outerShdw>
                    </a:effectLst>
                  </pic:spPr>
                </pic:pic>
              </a:graphicData>
            </a:graphic>
          </wp:inline>
        </w:drawing>
      </w:r>
    </w:p>
    <w:p w14:paraId="62C19CA1" w14:textId="0FB3BFA5" w:rsidR="003A2EDF" w:rsidRDefault="003A2EDF" w:rsidP="00057FE2">
      <w:pPr>
        <w:jc w:val="both"/>
        <w:rPr>
          <w:lang w:eastAsia="en-US"/>
        </w:rPr>
      </w:pPr>
      <w:r>
        <w:rPr>
          <w:lang w:eastAsia="en-US"/>
        </w:rPr>
        <w:t>For STxMP, though 3dB relaxation will be allowed by MAX(MPR</w:t>
      </w:r>
      <w:r w:rsidRPr="001358AB">
        <w:rPr>
          <w:vertAlign w:val="subscript"/>
          <w:lang w:eastAsia="en-US"/>
        </w:rPr>
        <w:t>legacy</w:t>
      </w:r>
      <w:r>
        <w:rPr>
          <w:lang w:eastAsia="en-US"/>
        </w:rPr>
        <w:t>, 3dB) for each panel, there would be no TRP relaxation in total</w:t>
      </w:r>
      <w:r w:rsidR="00E22C7A">
        <w:rPr>
          <w:lang w:eastAsia="en-US"/>
        </w:rPr>
        <w:t>, which is 2dB stringent than legacy requirement</w:t>
      </w:r>
      <w:r>
        <w:rPr>
          <w:lang w:eastAsia="en-US"/>
        </w:rPr>
        <w:t xml:space="preserve">. </w:t>
      </w:r>
      <w:r w:rsidR="00AF13D4">
        <w:rPr>
          <w:lang w:eastAsia="en-US"/>
        </w:rPr>
        <w:t>So under the ‘equal TRP split’ scenario, the proposed formula can only be effective for those combinations of RB allocation and waveform with 0 dB MPR.</w:t>
      </w:r>
    </w:p>
    <w:p w14:paraId="56998ABC" w14:textId="794170E4" w:rsidR="003A2EDF" w:rsidRDefault="003A2EDF" w:rsidP="00057FE2">
      <w:pPr>
        <w:jc w:val="both"/>
        <w:rPr>
          <w:lang w:eastAsia="en-US"/>
        </w:rPr>
      </w:pPr>
      <w:r>
        <w:rPr>
          <w:b/>
          <w:i/>
        </w:rPr>
        <w:t>Observation</w:t>
      </w:r>
      <w:r w:rsidRPr="0056168B">
        <w:rPr>
          <w:b/>
          <w:i/>
        </w:rPr>
        <w:t xml:space="preserve"> </w:t>
      </w:r>
      <w:r>
        <w:rPr>
          <w:b/>
          <w:i/>
        </w:rPr>
        <w:t>4</w:t>
      </w:r>
      <w:r w:rsidRPr="0056168B">
        <w:rPr>
          <w:b/>
          <w:i/>
        </w:rPr>
        <w:t>:</w:t>
      </w:r>
      <w:r>
        <w:rPr>
          <w:b/>
          <w:i/>
        </w:rPr>
        <w:t xml:space="preserve"> The total TRP relaxation</w:t>
      </w:r>
      <w:r w:rsidR="00E22C7A">
        <w:rPr>
          <w:b/>
          <w:i/>
        </w:rPr>
        <w:t xml:space="preserve"> with per panel MPR=</w:t>
      </w:r>
      <w:r w:rsidR="00E22C7A" w:rsidRPr="00E22C7A">
        <w:rPr>
          <w:b/>
          <w:i/>
        </w:rPr>
        <w:t>MAX(MPR</w:t>
      </w:r>
      <w:r w:rsidR="00E22C7A" w:rsidRPr="00E22C7A">
        <w:rPr>
          <w:b/>
          <w:i/>
          <w:vertAlign w:val="subscript"/>
        </w:rPr>
        <w:t>legacy</w:t>
      </w:r>
      <w:r w:rsidR="00E22C7A" w:rsidRPr="00E22C7A">
        <w:rPr>
          <w:b/>
          <w:i/>
        </w:rPr>
        <w:t>, 3dB)</w:t>
      </w:r>
      <w:r w:rsidR="00E22C7A">
        <w:rPr>
          <w:lang w:eastAsia="en-US"/>
        </w:rPr>
        <w:t xml:space="preserve"> </w:t>
      </w:r>
      <w:r>
        <w:rPr>
          <w:b/>
          <w:i/>
        </w:rPr>
        <w:t>can be 3dB only when the legacy MPR requirement equals to 0dB</w:t>
      </w:r>
      <w:r w:rsidR="00AF13D4">
        <w:rPr>
          <w:b/>
          <w:i/>
        </w:rPr>
        <w:t xml:space="preserve">.  </w:t>
      </w:r>
    </w:p>
    <w:p w14:paraId="0DAC0937" w14:textId="6132EF81" w:rsidR="00AD03CF" w:rsidRDefault="00E22C7A" w:rsidP="00057FE2">
      <w:pPr>
        <w:jc w:val="both"/>
        <w:rPr>
          <w:lang w:eastAsia="en-US"/>
        </w:rPr>
      </w:pPr>
      <w:r>
        <w:rPr>
          <w:lang w:eastAsia="en-US"/>
        </w:rPr>
        <w:t xml:space="preserve">So we </w:t>
      </w:r>
      <w:r w:rsidR="00F86295">
        <w:rPr>
          <w:lang w:eastAsia="en-US"/>
        </w:rPr>
        <w:t>have the following proposal for</w:t>
      </w:r>
      <w:r>
        <w:rPr>
          <w:lang w:eastAsia="en-US"/>
        </w:rPr>
        <w:t xml:space="preserve"> both MPR and A-MPR.   </w:t>
      </w:r>
    </w:p>
    <w:p w14:paraId="65643C5F" w14:textId="36E03811" w:rsidR="008A65F1" w:rsidRDefault="00E22C7A" w:rsidP="00057FE2">
      <w:pPr>
        <w:jc w:val="both"/>
        <w:rPr>
          <w:b/>
          <w:i/>
        </w:rPr>
      </w:pPr>
      <w:r>
        <w:rPr>
          <w:b/>
          <w:i/>
        </w:rPr>
        <w:t>Proposal 2</w:t>
      </w:r>
      <w:r w:rsidRPr="0056168B">
        <w:rPr>
          <w:b/>
          <w:i/>
        </w:rPr>
        <w:t>:</w:t>
      </w:r>
      <w:r>
        <w:rPr>
          <w:b/>
          <w:i/>
        </w:rPr>
        <w:t xml:space="preserve"> RAN4 </w:t>
      </w:r>
      <w:r w:rsidR="008A65F1">
        <w:rPr>
          <w:b/>
          <w:i/>
        </w:rPr>
        <w:t>further considers</w:t>
      </w:r>
      <w:r>
        <w:rPr>
          <w:b/>
          <w:i/>
        </w:rPr>
        <w:t xml:space="preserve"> the following</w:t>
      </w:r>
      <w:r w:rsidR="008A65F1">
        <w:rPr>
          <w:b/>
          <w:i/>
        </w:rPr>
        <w:t xml:space="preserve"> options for per panel </w:t>
      </w:r>
      <w:proofErr w:type="spellStart"/>
      <w:r w:rsidR="008A65F1">
        <w:rPr>
          <w:b/>
          <w:i/>
        </w:rPr>
        <w:t>MPR</w:t>
      </w:r>
      <w:r w:rsidR="00EC7AE1" w:rsidRPr="00EC7AE1">
        <w:rPr>
          <w:b/>
          <w:i/>
          <w:vertAlign w:val="subscript"/>
        </w:rPr>
        <w:t>f</w:t>
      </w:r>
      <w:proofErr w:type="spellEnd"/>
      <w:r w:rsidR="00EC7AE1" w:rsidRPr="00EC7AE1">
        <w:rPr>
          <w:b/>
          <w:i/>
          <w:vertAlign w:val="subscript"/>
        </w:rPr>
        <w:t>, c, k</w:t>
      </w:r>
      <w:r w:rsidR="008A65F1">
        <w:rPr>
          <w:b/>
          <w:i/>
        </w:rPr>
        <w:t>/A-</w:t>
      </w:r>
      <w:proofErr w:type="spellStart"/>
      <w:r w:rsidR="008A65F1">
        <w:rPr>
          <w:b/>
          <w:i/>
        </w:rPr>
        <w:t>MPR</w:t>
      </w:r>
      <w:r w:rsidR="00EC7AE1" w:rsidRPr="00EC7AE1">
        <w:rPr>
          <w:b/>
          <w:i/>
          <w:vertAlign w:val="subscript"/>
        </w:rPr>
        <w:t>f</w:t>
      </w:r>
      <w:proofErr w:type="spellEnd"/>
      <w:r w:rsidR="00EC7AE1" w:rsidRPr="00EC7AE1">
        <w:rPr>
          <w:b/>
          <w:i/>
          <w:vertAlign w:val="subscript"/>
        </w:rPr>
        <w:t>, c, k</w:t>
      </w:r>
      <w:r w:rsidR="00EC7AE1">
        <w:rPr>
          <w:b/>
          <w:i/>
        </w:rPr>
        <w:t>, where k</w:t>
      </w:r>
      <w:r w:rsidR="000540A6">
        <w:rPr>
          <w:b/>
          <w:i/>
        </w:rPr>
        <w:t>=0, 1</w:t>
      </w:r>
      <w:r w:rsidR="00EC7AE1">
        <w:rPr>
          <w:b/>
          <w:i/>
        </w:rPr>
        <w:t xml:space="preserve"> is the</w:t>
      </w:r>
      <w:r w:rsidR="000540A6">
        <w:rPr>
          <w:b/>
          <w:i/>
        </w:rPr>
        <w:t xml:space="preserve"> SRS resource set index configured for STxMP.</w:t>
      </w:r>
      <w:r w:rsidR="00EC7AE1">
        <w:rPr>
          <w:b/>
          <w:i/>
        </w:rPr>
        <w:t xml:space="preserve">  </w:t>
      </w:r>
    </w:p>
    <w:p w14:paraId="6EBCF6FB" w14:textId="0F2287E2" w:rsidR="00EC7AE1" w:rsidRPr="00EC7AE1" w:rsidRDefault="008A65F1" w:rsidP="000540A6">
      <w:pPr>
        <w:pStyle w:val="aff6"/>
        <w:numPr>
          <w:ilvl w:val="0"/>
          <w:numId w:val="40"/>
        </w:numPr>
        <w:ind w:firstLineChars="0"/>
        <w:rPr>
          <w:rFonts w:ascii="Times New Roman" w:hAnsi="Times New Roman"/>
          <w:b/>
          <w:i/>
          <w:kern w:val="0"/>
          <w:sz w:val="20"/>
          <w:szCs w:val="20"/>
          <w:lang w:val="en-GB" w:eastAsia="zh-CN"/>
        </w:rPr>
      </w:pPr>
      <w:r w:rsidRPr="00EC7AE1">
        <w:rPr>
          <w:rFonts w:ascii="Times New Roman" w:hAnsi="Times New Roman"/>
          <w:b/>
          <w:i/>
          <w:kern w:val="0"/>
          <w:sz w:val="20"/>
          <w:szCs w:val="20"/>
          <w:lang w:val="en-GB" w:eastAsia="zh-CN"/>
        </w:rPr>
        <w:t>Option 1.</w:t>
      </w:r>
      <w:r w:rsidR="00EC7AE1">
        <w:rPr>
          <w:rFonts w:ascii="Times New Roman" w:hAnsi="Times New Roman"/>
          <w:b/>
          <w:i/>
          <w:kern w:val="0"/>
          <w:sz w:val="20"/>
          <w:szCs w:val="20"/>
          <w:lang w:val="en-GB" w:eastAsia="zh-CN"/>
        </w:rPr>
        <w:t xml:space="preserve"> Define per panel </w:t>
      </w:r>
      <w:proofErr w:type="spellStart"/>
      <w:r w:rsidR="000540A6" w:rsidRPr="000540A6">
        <w:rPr>
          <w:rFonts w:ascii="Times New Roman" w:hAnsi="Times New Roman"/>
          <w:b/>
          <w:i/>
          <w:kern w:val="0"/>
          <w:sz w:val="20"/>
          <w:szCs w:val="20"/>
          <w:lang w:val="en-GB" w:eastAsia="zh-CN"/>
        </w:rPr>
        <w:t>MPR</w:t>
      </w:r>
      <w:r w:rsidR="000540A6" w:rsidRPr="000540A6">
        <w:rPr>
          <w:rFonts w:ascii="Times New Roman" w:hAnsi="Times New Roman"/>
          <w:b/>
          <w:i/>
          <w:kern w:val="0"/>
          <w:sz w:val="20"/>
          <w:szCs w:val="20"/>
          <w:vertAlign w:val="subscript"/>
          <w:lang w:val="en-GB" w:eastAsia="zh-CN"/>
        </w:rPr>
        <w:t>f</w:t>
      </w:r>
      <w:proofErr w:type="spellEnd"/>
      <w:r w:rsidR="000540A6" w:rsidRPr="000540A6">
        <w:rPr>
          <w:rFonts w:ascii="Times New Roman" w:hAnsi="Times New Roman"/>
          <w:b/>
          <w:i/>
          <w:kern w:val="0"/>
          <w:sz w:val="20"/>
          <w:szCs w:val="20"/>
          <w:vertAlign w:val="subscript"/>
          <w:lang w:val="en-GB" w:eastAsia="zh-CN"/>
        </w:rPr>
        <w:t>, c, k</w:t>
      </w:r>
      <w:r w:rsidR="00EC7AE1">
        <w:rPr>
          <w:rFonts w:ascii="Times New Roman" w:hAnsi="Times New Roman"/>
          <w:b/>
          <w:i/>
          <w:kern w:val="0"/>
          <w:sz w:val="20"/>
          <w:szCs w:val="20"/>
          <w:lang w:val="en-GB" w:eastAsia="zh-CN"/>
        </w:rPr>
        <w:t>=</w:t>
      </w:r>
      <w:proofErr w:type="spellStart"/>
      <w:r w:rsidR="00EC7AE1" w:rsidRPr="000540A6">
        <w:rPr>
          <w:rFonts w:ascii="Times New Roman" w:hAnsi="Times New Roman"/>
          <w:b/>
          <w:i/>
          <w:kern w:val="0"/>
          <w:sz w:val="20"/>
          <w:szCs w:val="20"/>
          <w:lang w:val="en-GB" w:eastAsia="zh-CN"/>
        </w:rPr>
        <w:t>MPR</w:t>
      </w:r>
      <w:r w:rsidR="00EC7AE1" w:rsidRPr="000540A6">
        <w:rPr>
          <w:rFonts w:ascii="Times New Roman" w:hAnsi="Times New Roman"/>
          <w:b/>
          <w:i/>
          <w:kern w:val="0"/>
          <w:sz w:val="20"/>
          <w:szCs w:val="20"/>
          <w:vertAlign w:val="subscript"/>
          <w:lang w:val="en-GB" w:eastAsia="zh-CN"/>
        </w:rPr>
        <w:t>f</w:t>
      </w:r>
      <w:proofErr w:type="spellEnd"/>
      <w:r w:rsidR="00EC7AE1" w:rsidRPr="000540A6">
        <w:rPr>
          <w:rFonts w:ascii="Times New Roman" w:hAnsi="Times New Roman"/>
          <w:b/>
          <w:i/>
          <w:kern w:val="0"/>
          <w:sz w:val="20"/>
          <w:szCs w:val="20"/>
          <w:vertAlign w:val="subscript"/>
          <w:lang w:val="en-GB" w:eastAsia="zh-CN"/>
        </w:rPr>
        <w:t>, c</w:t>
      </w:r>
      <w:r w:rsidR="00EC7AE1" w:rsidRPr="000540A6">
        <w:rPr>
          <w:rFonts w:ascii="Times New Roman" w:hAnsi="Times New Roman"/>
          <w:b/>
          <w:i/>
          <w:kern w:val="0"/>
          <w:sz w:val="20"/>
          <w:szCs w:val="20"/>
          <w:lang w:val="en-GB" w:eastAsia="zh-CN"/>
        </w:rPr>
        <w:t>+3dB and apply the same definition for A-</w:t>
      </w:r>
      <w:proofErr w:type="spellStart"/>
      <w:r w:rsidR="000540A6" w:rsidRPr="000540A6">
        <w:rPr>
          <w:rFonts w:ascii="Times New Roman" w:hAnsi="Times New Roman"/>
          <w:b/>
          <w:i/>
          <w:kern w:val="0"/>
          <w:sz w:val="20"/>
          <w:szCs w:val="20"/>
          <w:lang w:val="en-GB" w:eastAsia="zh-CN"/>
        </w:rPr>
        <w:t>MPR</w:t>
      </w:r>
      <w:r w:rsidR="000540A6" w:rsidRPr="000540A6">
        <w:rPr>
          <w:rFonts w:ascii="Times New Roman" w:hAnsi="Times New Roman"/>
          <w:b/>
          <w:i/>
          <w:kern w:val="0"/>
          <w:sz w:val="20"/>
          <w:szCs w:val="20"/>
          <w:vertAlign w:val="subscript"/>
          <w:lang w:val="en-GB" w:eastAsia="zh-CN"/>
        </w:rPr>
        <w:t>f</w:t>
      </w:r>
      <w:proofErr w:type="spellEnd"/>
      <w:r w:rsidR="000540A6" w:rsidRPr="000540A6">
        <w:rPr>
          <w:rFonts w:ascii="Times New Roman" w:hAnsi="Times New Roman"/>
          <w:b/>
          <w:i/>
          <w:kern w:val="0"/>
          <w:sz w:val="20"/>
          <w:szCs w:val="20"/>
          <w:vertAlign w:val="subscript"/>
          <w:lang w:val="en-GB" w:eastAsia="zh-CN"/>
        </w:rPr>
        <w:t>, c, k</w:t>
      </w:r>
      <w:r w:rsidR="000540A6">
        <w:rPr>
          <w:rFonts w:ascii="Times New Roman" w:hAnsi="Times New Roman"/>
          <w:b/>
          <w:i/>
          <w:kern w:val="0"/>
          <w:sz w:val="20"/>
          <w:szCs w:val="20"/>
          <w:lang w:val="en-GB" w:eastAsia="zh-CN"/>
        </w:rPr>
        <w:t>.</w:t>
      </w:r>
    </w:p>
    <w:p w14:paraId="5EA4CB47" w14:textId="4EA87FDC" w:rsidR="008A65F1" w:rsidRPr="00EC7AE1" w:rsidRDefault="00EC7AE1" w:rsidP="008A65F1">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Option 2. Reuse the legacy </w:t>
      </w:r>
      <w:proofErr w:type="spellStart"/>
      <w:r w:rsidR="008D1E8B" w:rsidRPr="000540A6">
        <w:rPr>
          <w:rFonts w:ascii="Times New Roman" w:hAnsi="Times New Roman"/>
          <w:b/>
          <w:i/>
          <w:kern w:val="0"/>
          <w:sz w:val="20"/>
          <w:szCs w:val="20"/>
          <w:lang w:val="en-GB" w:eastAsia="zh-CN"/>
        </w:rPr>
        <w:t>MPR</w:t>
      </w:r>
      <w:r w:rsidR="008D1E8B" w:rsidRPr="000540A6">
        <w:rPr>
          <w:rFonts w:ascii="Times New Roman" w:hAnsi="Times New Roman"/>
          <w:b/>
          <w:i/>
          <w:kern w:val="0"/>
          <w:sz w:val="20"/>
          <w:szCs w:val="20"/>
          <w:vertAlign w:val="subscript"/>
          <w:lang w:val="en-GB" w:eastAsia="zh-CN"/>
        </w:rPr>
        <w:t>f</w:t>
      </w:r>
      <w:proofErr w:type="spellEnd"/>
      <w:r w:rsidR="008D1E8B" w:rsidRPr="000540A6">
        <w:rPr>
          <w:rFonts w:ascii="Times New Roman" w:hAnsi="Times New Roman"/>
          <w:b/>
          <w:i/>
          <w:kern w:val="0"/>
          <w:sz w:val="20"/>
          <w:szCs w:val="20"/>
          <w:vertAlign w:val="subscript"/>
          <w:lang w:val="en-GB" w:eastAsia="zh-CN"/>
        </w:rPr>
        <w:t>, c</w:t>
      </w:r>
      <w:r>
        <w:rPr>
          <w:rFonts w:ascii="Times New Roman" w:hAnsi="Times New Roman"/>
          <w:b/>
          <w:i/>
          <w:kern w:val="0"/>
          <w:sz w:val="20"/>
          <w:szCs w:val="20"/>
          <w:lang w:val="en-GB" w:eastAsia="zh-CN"/>
        </w:rPr>
        <w:t>/A-</w:t>
      </w:r>
      <w:proofErr w:type="spellStart"/>
      <w:r w:rsidR="008D1E8B" w:rsidRPr="000540A6">
        <w:rPr>
          <w:rFonts w:ascii="Times New Roman" w:hAnsi="Times New Roman"/>
          <w:b/>
          <w:i/>
          <w:kern w:val="0"/>
          <w:sz w:val="20"/>
          <w:szCs w:val="20"/>
          <w:lang w:val="en-GB" w:eastAsia="zh-CN"/>
        </w:rPr>
        <w:t>MPR</w:t>
      </w:r>
      <w:r w:rsidR="008D1E8B" w:rsidRPr="000540A6">
        <w:rPr>
          <w:rFonts w:ascii="Times New Roman" w:hAnsi="Times New Roman"/>
          <w:b/>
          <w:i/>
          <w:kern w:val="0"/>
          <w:sz w:val="20"/>
          <w:szCs w:val="20"/>
          <w:vertAlign w:val="subscript"/>
          <w:lang w:val="en-GB" w:eastAsia="zh-CN"/>
        </w:rPr>
        <w:t>f</w:t>
      </w:r>
      <w:proofErr w:type="spellEnd"/>
      <w:r w:rsidR="008D1E8B" w:rsidRPr="000540A6">
        <w:rPr>
          <w:rFonts w:ascii="Times New Roman" w:hAnsi="Times New Roman"/>
          <w:b/>
          <w:i/>
          <w:kern w:val="0"/>
          <w:sz w:val="20"/>
          <w:szCs w:val="20"/>
          <w:vertAlign w:val="subscript"/>
          <w:lang w:val="en-GB" w:eastAsia="zh-CN"/>
        </w:rPr>
        <w:t xml:space="preserve">, </w:t>
      </w:r>
      <w:proofErr w:type="gramStart"/>
      <w:r w:rsidR="008D1E8B" w:rsidRPr="000540A6">
        <w:rPr>
          <w:rFonts w:ascii="Times New Roman" w:hAnsi="Times New Roman"/>
          <w:b/>
          <w:i/>
          <w:kern w:val="0"/>
          <w:sz w:val="20"/>
          <w:szCs w:val="20"/>
          <w:vertAlign w:val="subscript"/>
          <w:lang w:val="en-GB" w:eastAsia="zh-CN"/>
        </w:rPr>
        <w:t>c</w:t>
      </w:r>
      <w:proofErr w:type="gramEnd"/>
      <w:r>
        <w:rPr>
          <w:rFonts w:ascii="Times New Roman" w:hAnsi="Times New Roman"/>
          <w:b/>
          <w:i/>
          <w:kern w:val="0"/>
          <w:sz w:val="20"/>
          <w:szCs w:val="20"/>
          <w:lang w:val="en-GB" w:eastAsia="zh-CN"/>
        </w:rPr>
        <w:t xml:space="preserve"> and </w:t>
      </w:r>
      <w:r w:rsidR="008D1E8B">
        <w:rPr>
          <w:rFonts w:ascii="Times New Roman" w:hAnsi="Times New Roman"/>
          <w:b/>
          <w:i/>
          <w:kern w:val="0"/>
          <w:sz w:val="20"/>
          <w:szCs w:val="20"/>
          <w:lang w:val="en-GB" w:eastAsia="zh-CN"/>
        </w:rPr>
        <w:t>introdu</w:t>
      </w:r>
      <w:r>
        <w:rPr>
          <w:rFonts w:ascii="Times New Roman" w:hAnsi="Times New Roman"/>
          <w:b/>
          <w:i/>
          <w:kern w:val="0"/>
          <w:sz w:val="20"/>
          <w:szCs w:val="20"/>
          <w:lang w:val="en-GB" w:eastAsia="zh-CN"/>
        </w:rPr>
        <w:t>ce</w:t>
      </w:r>
      <w:r w:rsidR="008D1E8B">
        <w:rPr>
          <w:rFonts w:ascii="Times New Roman" w:hAnsi="Times New Roman"/>
          <w:b/>
          <w:i/>
          <w:kern w:val="0"/>
          <w:sz w:val="20"/>
          <w:szCs w:val="20"/>
          <w:lang w:val="en-GB" w:eastAsia="zh-CN"/>
        </w:rPr>
        <w:t xml:space="preserve"> additional</w:t>
      </w:r>
      <w:r>
        <w:rPr>
          <w:rFonts w:ascii="Times New Roman" w:hAnsi="Times New Roman"/>
          <w:b/>
          <w:i/>
          <w:kern w:val="0"/>
          <w:sz w:val="20"/>
          <w:szCs w:val="20"/>
          <w:lang w:val="en-GB" w:eastAsia="zh-CN"/>
        </w:rPr>
        <w:t xml:space="preserve"> 3dB relaxation </w:t>
      </w:r>
      <w:r w:rsidR="008D1E8B">
        <w:rPr>
          <w:rFonts w:ascii="Times New Roman" w:hAnsi="Times New Roman"/>
          <w:b/>
          <w:i/>
          <w:kern w:val="0"/>
          <w:sz w:val="20"/>
          <w:szCs w:val="20"/>
          <w:lang w:val="en-GB" w:eastAsia="zh-CN"/>
        </w:rPr>
        <w:t>into</w:t>
      </w:r>
      <w:r>
        <w:rPr>
          <w:rFonts w:ascii="Times New Roman" w:hAnsi="Times New Roman"/>
          <w:b/>
          <w:i/>
          <w:kern w:val="0"/>
          <w:sz w:val="20"/>
          <w:szCs w:val="20"/>
          <w:lang w:val="en-GB" w:eastAsia="zh-CN"/>
        </w:rPr>
        <w:t xml:space="preserve"> the lower bound for </w:t>
      </w:r>
      <w:r w:rsidR="008D1E8B">
        <w:rPr>
          <w:rFonts w:ascii="Times New Roman" w:hAnsi="Times New Roman"/>
          <w:b/>
          <w:i/>
          <w:kern w:val="0"/>
          <w:sz w:val="20"/>
          <w:szCs w:val="20"/>
          <w:lang w:val="en-GB" w:eastAsia="zh-CN"/>
        </w:rPr>
        <w:t>P</w:t>
      </w:r>
      <w:r w:rsidR="008D1E8B" w:rsidRPr="008D1E8B">
        <w:rPr>
          <w:rFonts w:ascii="Times New Roman" w:hAnsi="Times New Roman"/>
          <w:b/>
          <w:i/>
          <w:kern w:val="0"/>
          <w:sz w:val="20"/>
          <w:szCs w:val="20"/>
          <w:vertAlign w:val="subscript"/>
          <w:lang w:val="en-GB" w:eastAsia="zh-CN"/>
        </w:rPr>
        <w:t>UMAX, f, c, k</w:t>
      </w:r>
      <w:r w:rsidR="008D1E8B">
        <w:rPr>
          <w:rFonts w:ascii="Times New Roman" w:hAnsi="Times New Roman"/>
          <w:b/>
          <w:i/>
          <w:kern w:val="0"/>
          <w:sz w:val="20"/>
          <w:szCs w:val="20"/>
          <w:lang w:val="en-GB" w:eastAsia="zh-CN"/>
        </w:rPr>
        <w:t>.</w:t>
      </w:r>
    </w:p>
    <w:p w14:paraId="05B33B99" w14:textId="3B7EAF0E" w:rsidR="00AD03CF" w:rsidRPr="00EC7AE1" w:rsidRDefault="00EC7AE1" w:rsidP="008A65F1">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Option 3</w:t>
      </w:r>
      <w:r w:rsidR="008A65F1" w:rsidRPr="00EC7AE1">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Reconsider whether/how to define per panel MPR/A-MPR in the </w:t>
      </w:r>
      <w:r w:rsidR="008D1E8B">
        <w:rPr>
          <w:rFonts w:ascii="Times New Roman" w:hAnsi="Times New Roman"/>
          <w:b/>
          <w:i/>
          <w:kern w:val="0"/>
          <w:sz w:val="20"/>
          <w:szCs w:val="20"/>
          <w:lang w:val="en-GB" w:eastAsia="zh-CN"/>
        </w:rPr>
        <w:t>future</w:t>
      </w:r>
      <w:r>
        <w:rPr>
          <w:rFonts w:ascii="Times New Roman" w:hAnsi="Times New Roman"/>
          <w:b/>
          <w:i/>
          <w:kern w:val="0"/>
          <w:sz w:val="20"/>
          <w:szCs w:val="20"/>
          <w:lang w:val="en-GB" w:eastAsia="zh-CN"/>
        </w:rPr>
        <w:t>.</w:t>
      </w:r>
      <w:r w:rsidR="008A65F1" w:rsidRPr="00EC7AE1">
        <w:rPr>
          <w:rFonts w:ascii="Times New Roman" w:hAnsi="Times New Roman"/>
          <w:b/>
          <w:i/>
          <w:kern w:val="0"/>
          <w:sz w:val="20"/>
          <w:szCs w:val="20"/>
          <w:lang w:val="en-GB" w:eastAsia="zh-CN"/>
        </w:rPr>
        <w:t xml:space="preserve">  </w:t>
      </w:r>
      <w:r w:rsidR="00E22C7A" w:rsidRPr="00EC7AE1">
        <w:rPr>
          <w:rFonts w:ascii="Times New Roman" w:hAnsi="Times New Roman"/>
          <w:b/>
          <w:i/>
          <w:kern w:val="0"/>
          <w:sz w:val="20"/>
          <w:szCs w:val="20"/>
          <w:lang w:val="en-GB" w:eastAsia="zh-CN"/>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56DAC1F3" w14:textId="1A02A632"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9669E7">
        <w:t>STxMP operation</w:t>
      </w:r>
      <w:r w:rsidR="00EE775E">
        <w:t xml:space="preserve"> from RF perspective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10186399" w14:textId="6D0ADFCC" w:rsidR="00E714F9" w:rsidRDefault="00B62E57" w:rsidP="00AB5D6B">
      <w:pPr>
        <w:jc w:val="both"/>
        <w:rPr>
          <w:b/>
          <w:i/>
        </w:rPr>
      </w:pPr>
      <w:r>
        <w:rPr>
          <w:b/>
          <w:i/>
        </w:rPr>
        <w:t>Observation</w:t>
      </w:r>
      <w:r w:rsidRPr="0056168B">
        <w:rPr>
          <w:b/>
          <w:i/>
        </w:rPr>
        <w:t xml:space="preserve"> </w:t>
      </w:r>
      <w:r>
        <w:rPr>
          <w:b/>
          <w:i/>
        </w:rPr>
        <w:t>1</w:t>
      </w:r>
      <w:r w:rsidRPr="0056168B">
        <w:rPr>
          <w:b/>
          <w:i/>
        </w:rPr>
        <w:t>:</w:t>
      </w:r>
      <w:r>
        <w:rPr>
          <w:b/>
          <w:i/>
        </w:rPr>
        <w:t xml:space="preserve"> </w:t>
      </w:r>
      <w:r w:rsidR="00E15CCE">
        <w:rPr>
          <w:b/>
          <w:i/>
        </w:rPr>
        <w:t xml:space="preserve">If using ‘TCI-state pool’ to differentiate two TRP-panel links can be clarified as it is </w:t>
      </w:r>
      <w:r w:rsidR="00E15CCE" w:rsidRPr="00D3259B">
        <w:rPr>
          <w:b/>
          <w:i/>
        </w:rPr>
        <w:t>essentially the same as</w:t>
      </w:r>
      <w:r w:rsidR="00E15CCE" w:rsidRPr="00E15CCE">
        <w:rPr>
          <w:b/>
          <w:i/>
        </w:rPr>
        <w:t xml:space="preserve"> </w:t>
      </w:r>
      <w:r w:rsidR="00E15CCE">
        <w:rPr>
          <w:b/>
          <w:i/>
        </w:rPr>
        <w:t>RRC-configured per-TRP TCI-state list, RAN1 has concluded not to consider it in Rel-18</w:t>
      </w:r>
      <w:r>
        <w:rPr>
          <w:b/>
          <w:i/>
        </w:rPr>
        <w:t>.</w:t>
      </w:r>
    </w:p>
    <w:p w14:paraId="74D522CC" w14:textId="77777777" w:rsidR="00B62E57" w:rsidRDefault="00B62E57" w:rsidP="00B62E57">
      <w:pPr>
        <w:jc w:val="both"/>
        <w:rPr>
          <w:b/>
          <w:i/>
        </w:rPr>
      </w:pPr>
      <w:r>
        <w:rPr>
          <w:b/>
          <w:i/>
        </w:rPr>
        <w:t>Observation</w:t>
      </w:r>
      <w:r w:rsidRPr="0056168B">
        <w:rPr>
          <w:b/>
          <w:i/>
        </w:rPr>
        <w:t xml:space="preserve"> </w:t>
      </w:r>
      <w:r>
        <w:rPr>
          <w:b/>
          <w:i/>
        </w:rPr>
        <w:t>2</w:t>
      </w:r>
      <w:r w:rsidRPr="0056168B">
        <w:rPr>
          <w:b/>
          <w:i/>
        </w:rPr>
        <w:t>:</w:t>
      </w:r>
      <w:r>
        <w:rPr>
          <w:b/>
          <w:i/>
        </w:rPr>
        <w:t xml:space="preserve"> RAN1 agreed on using different SRS resource set to distinguish </w:t>
      </w:r>
      <w:r>
        <w:rPr>
          <w:lang w:eastAsia="en-US"/>
        </w:rPr>
        <w:t>“</w:t>
      </w:r>
      <w:r w:rsidRPr="00742E6D">
        <w:rPr>
          <w:b/>
          <w:i/>
        </w:rPr>
        <w:t>two panels” for STxMP operation for both single-DCI and multi-DCI</w:t>
      </w:r>
      <w:r>
        <w:rPr>
          <w:b/>
          <w:i/>
        </w:rPr>
        <w:t xml:space="preserve">. </w:t>
      </w:r>
    </w:p>
    <w:p w14:paraId="53E43085" w14:textId="77777777" w:rsidR="008A65F1" w:rsidRPr="00643EF6" w:rsidRDefault="008A65F1" w:rsidP="008A65F1">
      <w:pPr>
        <w:jc w:val="both"/>
        <w:rPr>
          <w:b/>
          <w:i/>
        </w:rPr>
      </w:pPr>
      <w:r>
        <w:rPr>
          <w:b/>
          <w:i/>
        </w:rPr>
        <w:t>Observation</w:t>
      </w:r>
      <w:r w:rsidRPr="0056168B">
        <w:rPr>
          <w:b/>
          <w:i/>
        </w:rPr>
        <w:t xml:space="preserve"> </w:t>
      </w:r>
      <w:r>
        <w:rPr>
          <w:b/>
          <w:i/>
        </w:rPr>
        <w:t>3</w:t>
      </w:r>
      <w:r w:rsidRPr="0056168B">
        <w:rPr>
          <w:b/>
          <w:i/>
        </w:rPr>
        <w:t>:</w:t>
      </w:r>
      <w:r>
        <w:rPr>
          <w:b/>
          <w:i/>
        </w:rPr>
        <w:t xml:space="preserve"> When the gNB would expect the UE to </w:t>
      </w:r>
      <w:r w:rsidRPr="00643EF6">
        <w:rPr>
          <w:b/>
          <w:i/>
        </w:rPr>
        <w:t>achieve maximum EIRP for both beam peak directions under STxMP mode</w:t>
      </w:r>
      <w:r>
        <w:rPr>
          <w:b/>
          <w:i/>
        </w:rPr>
        <w:t xml:space="preserve">, 3dB </w:t>
      </w:r>
      <w:r w:rsidRPr="00643EF6">
        <w:rPr>
          <w:b/>
          <w:i/>
        </w:rPr>
        <w:t xml:space="preserve">‘alternative’ MPR is necessary </w:t>
      </w:r>
      <w:r>
        <w:rPr>
          <w:b/>
          <w:i/>
        </w:rPr>
        <w:t xml:space="preserve">in case </w:t>
      </w:r>
      <w:r w:rsidRPr="00643EF6">
        <w:rPr>
          <w:b/>
          <w:i/>
        </w:rPr>
        <w:t>the UE</w:t>
      </w:r>
      <w:r>
        <w:rPr>
          <w:b/>
          <w:i/>
        </w:rPr>
        <w:t xml:space="preserve"> is risky</w:t>
      </w:r>
      <w:r w:rsidRPr="00643EF6">
        <w:rPr>
          <w:b/>
          <w:i/>
        </w:rPr>
        <w:t xml:space="preserve"> to comply with the legacy per UE TRP limitation</w:t>
      </w:r>
      <w:r>
        <w:rPr>
          <w:b/>
          <w:i/>
        </w:rPr>
        <w:t>.</w:t>
      </w:r>
      <w:r>
        <w:rPr>
          <w:lang w:eastAsia="en-US"/>
        </w:rPr>
        <w:t xml:space="preserve"> </w:t>
      </w:r>
      <w:r>
        <w:rPr>
          <w:b/>
          <w:i/>
        </w:rPr>
        <w:t xml:space="preserve">   </w:t>
      </w:r>
    </w:p>
    <w:p w14:paraId="7D6418BD" w14:textId="77777777" w:rsidR="008A65F1" w:rsidRDefault="008A65F1" w:rsidP="008A65F1">
      <w:pPr>
        <w:jc w:val="both"/>
        <w:rPr>
          <w:lang w:eastAsia="en-US"/>
        </w:rPr>
      </w:pPr>
      <w:r>
        <w:rPr>
          <w:b/>
          <w:i/>
        </w:rPr>
        <w:t>Observation</w:t>
      </w:r>
      <w:r w:rsidRPr="0056168B">
        <w:rPr>
          <w:b/>
          <w:i/>
        </w:rPr>
        <w:t xml:space="preserve"> </w:t>
      </w:r>
      <w:r>
        <w:rPr>
          <w:b/>
          <w:i/>
        </w:rPr>
        <w:t>4</w:t>
      </w:r>
      <w:r w:rsidRPr="0056168B">
        <w:rPr>
          <w:b/>
          <w:i/>
        </w:rPr>
        <w:t>:</w:t>
      </w:r>
      <w:r>
        <w:rPr>
          <w:b/>
          <w:i/>
        </w:rPr>
        <w:t xml:space="preserve"> The total TRP relaxation with per panel MPR=</w:t>
      </w:r>
      <w:proofErr w:type="gramStart"/>
      <w:r w:rsidRPr="00E22C7A">
        <w:rPr>
          <w:b/>
          <w:i/>
        </w:rPr>
        <w:t>MAX(</w:t>
      </w:r>
      <w:proofErr w:type="gramEnd"/>
      <w:r w:rsidRPr="00E22C7A">
        <w:rPr>
          <w:b/>
          <w:i/>
        </w:rPr>
        <w:t>MPR</w:t>
      </w:r>
      <w:r w:rsidRPr="00E22C7A">
        <w:rPr>
          <w:b/>
          <w:i/>
          <w:vertAlign w:val="subscript"/>
        </w:rPr>
        <w:t>legacy</w:t>
      </w:r>
      <w:r w:rsidRPr="00E22C7A">
        <w:rPr>
          <w:b/>
          <w:i/>
        </w:rPr>
        <w:t>, 3dB)</w:t>
      </w:r>
      <w:r>
        <w:rPr>
          <w:lang w:eastAsia="en-US"/>
        </w:rPr>
        <w:t xml:space="preserve"> </w:t>
      </w:r>
      <w:r>
        <w:rPr>
          <w:b/>
          <w:i/>
        </w:rPr>
        <w:t xml:space="preserve">can be 3dB only when the legacy MPR requirement equals to 0dB.  </w:t>
      </w:r>
    </w:p>
    <w:p w14:paraId="2FA4F53B" w14:textId="2E6A2954" w:rsidR="00B62E57" w:rsidRDefault="00B62E57" w:rsidP="00B62E57">
      <w:pPr>
        <w:jc w:val="both"/>
        <w:rPr>
          <w:lang w:eastAsia="en-US"/>
        </w:rPr>
      </w:pPr>
    </w:p>
    <w:p w14:paraId="66609B7E" w14:textId="77777777" w:rsidR="00B62E57" w:rsidRPr="002B7587" w:rsidRDefault="00B62E57" w:rsidP="00B62E57">
      <w:pPr>
        <w:jc w:val="both"/>
        <w:rPr>
          <w:b/>
          <w:i/>
        </w:rPr>
      </w:pPr>
      <w:r>
        <w:rPr>
          <w:b/>
          <w:i/>
        </w:rPr>
        <w:t>Proposal 1</w:t>
      </w:r>
      <w:r w:rsidRPr="0056168B">
        <w:rPr>
          <w:b/>
          <w:i/>
        </w:rPr>
        <w:t>:</w:t>
      </w:r>
      <w:r>
        <w:rPr>
          <w:b/>
          <w:i/>
        </w:rPr>
        <w:t xml:space="preserve"> RAN4 considers to use “per SRS resource set” as the solution to implement “per-panel” configured transmitted power for STxMP operation.</w:t>
      </w:r>
    </w:p>
    <w:p w14:paraId="1681039B" w14:textId="77777777" w:rsidR="00D94E08" w:rsidRDefault="00D94E08" w:rsidP="00D94E08">
      <w:pPr>
        <w:jc w:val="both"/>
        <w:rPr>
          <w:b/>
          <w:i/>
        </w:rPr>
      </w:pPr>
      <w:r>
        <w:rPr>
          <w:b/>
          <w:i/>
        </w:rPr>
        <w:t>Proposal 2</w:t>
      </w:r>
      <w:r w:rsidRPr="0056168B">
        <w:rPr>
          <w:b/>
          <w:i/>
        </w:rPr>
        <w:t>:</w:t>
      </w:r>
      <w:r>
        <w:rPr>
          <w:b/>
          <w:i/>
        </w:rPr>
        <w:t xml:space="preserve"> RAN4 further considers the following options for per panel </w:t>
      </w:r>
      <w:proofErr w:type="spellStart"/>
      <w:r>
        <w:rPr>
          <w:b/>
          <w:i/>
        </w:rPr>
        <w:t>MPR</w:t>
      </w:r>
      <w:r w:rsidRPr="00EC7AE1">
        <w:rPr>
          <w:b/>
          <w:i/>
          <w:vertAlign w:val="subscript"/>
        </w:rPr>
        <w:t>f</w:t>
      </w:r>
      <w:proofErr w:type="spellEnd"/>
      <w:r w:rsidRPr="00EC7AE1">
        <w:rPr>
          <w:b/>
          <w:i/>
          <w:vertAlign w:val="subscript"/>
        </w:rPr>
        <w:t>, c, k</w:t>
      </w:r>
      <w:r>
        <w:rPr>
          <w:b/>
          <w:i/>
        </w:rPr>
        <w:t>/A-</w:t>
      </w:r>
      <w:proofErr w:type="spellStart"/>
      <w:r>
        <w:rPr>
          <w:b/>
          <w:i/>
        </w:rPr>
        <w:t>MPR</w:t>
      </w:r>
      <w:r w:rsidRPr="00EC7AE1">
        <w:rPr>
          <w:b/>
          <w:i/>
          <w:vertAlign w:val="subscript"/>
        </w:rPr>
        <w:t>f</w:t>
      </w:r>
      <w:proofErr w:type="spellEnd"/>
      <w:r w:rsidRPr="00EC7AE1">
        <w:rPr>
          <w:b/>
          <w:i/>
          <w:vertAlign w:val="subscript"/>
        </w:rPr>
        <w:t>, c, k</w:t>
      </w:r>
      <w:r>
        <w:rPr>
          <w:b/>
          <w:i/>
        </w:rPr>
        <w:t xml:space="preserve">, where k=0, 1 is the SRS resource set index configured for STxMP.  </w:t>
      </w:r>
    </w:p>
    <w:p w14:paraId="6E73FCEA" w14:textId="77777777" w:rsidR="00D94E08" w:rsidRPr="00EC7AE1" w:rsidRDefault="00D94E08" w:rsidP="00D94E08">
      <w:pPr>
        <w:pStyle w:val="aff6"/>
        <w:numPr>
          <w:ilvl w:val="0"/>
          <w:numId w:val="40"/>
        </w:numPr>
        <w:ind w:firstLineChars="0"/>
        <w:rPr>
          <w:rFonts w:ascii="Times New Roman" w:hAnsi="Times New Roman"/>
          <w:b/>
          <w:i/>
          <w:kern w:val="0"/>
          <w:sz w:val="20"/>
          <w:szCs w:val="20"/>
          <w:lang w:val="en-GB" w:eastAsia="zh-CN"/>
        </w:rPr>
      </w:pPr>
      <w:r w:rsidRPr="00EC7AE1">
        <w:rPr>
          <w:rFonts w:ascii="Times New Roman" w:hAnsi="Times New Roman"/>
          <w:b/>
          <w:i/>
          <w:kern w:val="0"/>
          <w:sz w:val="20"/>
          <w:szCs w:val="20"/>
          <w:lang w:val="en-GB" w:eastAsia="zh-CN"/>
        </w:rPr>
        <w:t>Option 1.</w:t>
      </w:r>
      <w:r>
        <w:rPr>
          <w:rFonts w:ascii="Times New Roman" w:hAnsi="Times New Roman"/>
          <w:b/>
          <w:i/>
          <w:kern w:val="0"/>
          <w:sz w:val="20"/>
          <w:szCs w:val="20"/>
          <w:lang w:val="en-GB" w:eastAsia="zh-CN"/>
        </w:rPr>
        <w:t xml:space="preserve"> Define per panel </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c, k</w:t>
      </w:r>
      <w:r>
        <w:rPr>
          <w:rFonts w:ascii="Times New Roman" w:hAnsi="Times New Roman"/>
          <w:b/>
          <w:i/>
          <w:kern w:val="0"/>
          <w:sz w:val="20"/>
          <w:szCs w:val="20"/>
          <w:lang w:val="en-GB" w:eastAsia="zh-CN"/>
        </w:rPr>
        <w:t>=</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c</w:t>
      </w:r>
      <w:r w:rsidRPr="000540A6">
        <w:rPr>
          <w:rFonts w:ascii="Times New Roman" w:hAnsi="Times New Roman"/>
          <w:b/>
          <w:i/>
          <w:kern w:val="0"/>
          <w:sz w:val="20"/>
          <w:szCs w:val="20"/>
          <w:lang w:val="en-GB" w:eastAsia="zh-CN"/>
        </w:rPr>
        <w:t>+3dB and apply the same definition for A-</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c, k</w:t>
      </w:r>
      <w:r>
        <w:rPr>
          <w:rFonts w:ascii="Times New Roman" w:hAnsi="Times New Roman"/>
          <w:b/>
          <w:i/>
          <w:kern w:val="0"/>
          <w:sz w:val="20"/>
          <w:szCs w:val="20"/>
          <w:lang w:val="en-GB" w:eastAsia="zh-CN"/>
        </w:rPr>
        <w:t>.</w:t>
      </w:r>
    </w:p>
    <w:p w14:paraId="72BA9245" w14:textId="77777777" w:rsidR="00D94E08" w:rsidRPr="00EC7AE1" w:rsidRDefault="00D94E08" w:rsidP="00D94E08">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Option 2. Reuse the legacy </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c</w:t>
      </w:r>
      <w:r>
        <w:rPr>
          <w:rFonts w:ascii="Times New Roman" w:hAnsi="Times New Roman"/>
          <w:b/>
          <w:i/>
          <w:kern w:val="0"/>
          <w:sz w:val="20"/>
          <w:szCs w:val="20"/>
          <w:lang w:val="en-GB" w:eastAsia="zh-CN"/>
        </w:rPr>
        <w:t>/A-</w:t>
      </w:r>
      <w:proofErr w:type="spellStart"/>
      <w:r w:rsidRPr="000540A6">
        <w:rPr>
          <w:rFonts w:ascii="Times New Roman" w:hAnsi="Times New Roman"/>
          <w:b/>
          <w:i/>
          <w:kern w:val="0"/>
          <w:sz w:val="20"/>
          <w:szCs w:val="20"/>
          <w:lang w:val="en-GB" w:eastAsia="zh-CN"/>
        </w:rPr>
        <w:t>MPR</w:t>
      </w:r>
      <w:r w:rsidRPr="000540A6">
        <w:rPr>
          <w:rFonts w:ascii="Times New Roman" w:hAnsi="Times New Roman"/>
          <w:b/>
          <w:i/>
          <w:kern w:val="0"/>
          <w:sz w:val="20"/>
          <w:szCs w:val="20"/>
          <w:vertAlign w:val="subscript"/>
          <w:lang w:val="en-GB" w:eastAsia="zh-CN"/>
        </w:rPr>
        <w:t>f</w:t>
      </w:r>
      <w:proofErr w:type="spellEnd"/>
      <w:r w:rsidRPr="000540A6">
        <w:rPr>
          <w:rFonts w:ascii="Times New Roman" w:hAnsi="Times New Roman"/>
          <w:b/>
          <w:i/>
          <w:kern w:val="0"/>
          <w:sz w:val="20"/>
          <w:szCs w:val="20"/>
          <w:vertAlign w:val="subscript"/>
          <w:lang w:val="en-GB" w:eastAsia="zh-CN"/>
        </w:rPr>
        <w:t xml:space="preserve">, </w:t>
      </w:r>
      <w:proofErr w:type="gramStart"/>
      <w:r w:rsidRPr="000540A6">
        <w:rPr>
          <w:rFonts w:ascii="Times New Roman" w:hAnsi="Times New Roman"/>
          <w:b/>
          <w:i/>
          <w:kern w:val="0"/>
          <w:sz w:val="20"/>
          <w:szCs w:val="20"/>
          <w:vertAlign w:val="subscript"/>
          <w:lang w:val="en-GB" w:eastAsia="zh-CN"/>
        </w:rPr>
        <w:t>c</w:t>
      </w:r>
      <w:proofErr w:type="gramEnd"/>
      <w:r>
        <w:rPr>
          <w:rFonts w:ascii="Times New Roman" w:hAnsi="Times New Roman"/>
          <w:b/>
          <w:i/>
          <w:kern w:val="0"/>
          <w:sz w:val="20"/>
          <w:szCs w:val="20"/>
          <w:lang w:val="en-GB" w:eastAsia="zh-CN"/>
        </w:rPr>
        <w:t xml:space="preserve"> and introduce additional 3dB relaxation into the lower bound for P</w:t>
      </w:r>
      <w:r w:rsidRPr="008D1E8B">
        <w:rPr>
          <w:rFonts w:ascii="Times New Roman" w:hAnsi="Times New Roman"/>
          <w:b/>
          <w:i/>
          <w:kern w:val="0"/>
          <w:sz w:val="20"/>
          <w:szCs w:val="20"/>
          <w:vertAlign w:val="subscript"/>
          <w:lang w:val="en-GB" w:eastAsia="zh-CN"/>
        </w:rPr>
        <w:t>UMAX, f, c, k</w:t>
      </w:r>
      <w:r>
        <w:rPr>
          <w:rFonts w:ascii="Times New Roman" w:hAnsi="Times New Roman"/>
          <w:b/>
          <w:i/>
          <w:kern w:val="0"/>
          <w:sz w:val="20"/>
          <w:szCs w:val="20"/>
          <w:lang w:val="en-GB" w:eastAsia="zh-CN"/>
        </w:rPr>
        <w:t>.</w:t>
      </w:r>
    </w:p>
    <w:p w14:paraId="7A8A453E" w14:textId="77777777" w:rsidR="00D94E08" w:rsidRPr="00EC7AE1" w:rsidRDefault="00D94E08" w:rsidP="00D94E08">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Option 3</w:t>
      </w:r>
      <w:r w:rsidRPr="00EC7AE1">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Reconsider whether/how to define per panel MPR/A-MPR in the future.</w:t>
      </w:r>
      <w:r w:rsidRPr="00EC7AE1">
        <w:rPr>
          <w:rFonts w:ascii="Times New Roman" w:hAnsi="Times New Roman"/>
          <w:b/>
          <w:i/>
          <w:kern w:val="0"/>
          <w:sz w:val="20"/>
          <w:szCs w:val="20"/>
          <w:lang w:val="en-GB" w:eastAsia="zh-CN"/>
        </w:rPr>
        <w:t xml:space="preserve">   </w:t>
      </w:r>
    </w:p>
    <w:p w14:paraId="393A38C1" w14:textId="77777777" w:rsidR="00B62E57" w:rsidRDefault="00B62E57" w:rsidP="00AB5D6B">
      <w:pPr>
        <w:jc w:val="both"/>
        <w:rPr>
          <w:b/>
          <w:i/>
        </w:rPr>
      </w:pPr>
    </w:p>
    <w:p w14:paraId="09A01E08" w14:textId="77777777" w:rsidR="00B62E57" w:rsidRPr="00E714F9" w:rsidRDefault="00B62E57"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65543A08" w14:textId="1587E88C" w:rsidR="001721F6" w:rsidRDefault="001721F6"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CB6180">
        <w:rPr>
          <w:lang w:val="it-IT" w:eastAsia="ja-JP"/>
        </w:rPr>
        <w:t>10</w:t>
      </w:r>
      <w:r>
        <w:rPr>
          <w:lang w:val="it-IT" w:eastAsia="ja-JP"/>
        </w:rPr>
        <w:t>2</w:t>
      </w:r>
      <w:r w:rsidR="00CB6180">
        <w:rPr>
          <w:lang w:val="it-IT" w:eastAsia="ja-JP"/>
        </w:rPr>
        <w:t>68</w:t>
      </w:r>
      <w:r>
        <w:rPr>
          <w:lang w:val="it-IT" w:eastAsia="ja-JP"/>
        </w:rPr>
        <w:t>, “</w:t>
      </w:r>
      <w:r w:rsidR="00CB6180" w:rsidRPr="00CB6180">
        <w:rPr>
          <w:lang w:eastAsia="ja-JP"/>
        </w:rPr>
        <w:t>WF on UE RF requirements for NR MIMO evolution</w:t>
      </w:r>
      <w:r>
        <w:rPr>
          <w:lang w:val="it-IT" w:eastAsia="ja-JP"/>
        </w:rPr>
        <w:t xml:space="preserve">”, Samsung, </w:t>
      </w:r>
      <w:r w:rsidRPr="00E50A44">
        <w:rPr>
          <w:lang w:val="it-IT" w:eastAsia="ja-JP"/>
        </w:rPr>
        <w:t>3GPP TSG-RAN</w:t>
      </w:r>
      <w:r>
        <w:rPr>
          <w:lang w:val="it-IT" w:eastAsia="ja-JP"/>
        </w:rPr>
        <w:t>4</w:t>
      </w:r>
      <w:r w:rsidRPr="00E50A44">
        <w:rPr>
          <w:lang w:val="it-IT" w:eastAsia="ja-JP"/>
        </w:rPr>
        <w:t xml:space="preserve"> #</w:t>
      </w:r>
      <w:r>
        <w:rPr>
          <w:lang w:val="it-IT" w:eastAsia="ja-JP"/>
        </w:rPr>
        <w:t>10</w:t>
      </w:r>
      <w:r w:rsidR="00CB6180">
        <w:rPr>
          <w:lang w:val="it-IT" w:eastAsia="ja-JP"/>
        </w:rPr>
        <w:t>7</w:t>
      </w:r>
      <w:r w:rsidRPr="00E50A44">
        <w:rPr>
          <w:lang w:val="it-IT" w:eastAsia="ja-JP"/>
        </w:rPr>
        <w:t xml:space="preserve">, </w:t>
      </w:r>
      <w:r w:rsidR="00CB6180">
        <w:rPr>
          <w:lang w:val="it-IT" w:eastAsia="ja-JP"/>
        </w:rPr>
        <w:t>Incheon, Korea</w:t>
      </w:r>
      <w:r>
        <w:rPr>
          <w:lang w:val="it-IT" w:eastAsia="ja-JP"/>
        </w:rPr>
        <w:t>,</w:t>
      </w:r>
      <w:r w:rsidRPr="00E50A44">
        <w:rPr>
          <w:lang w:val="it-IT" w:eastAsia="ja-JP"/>
        </w:rPr>
        <w:t xml:space="preserve"> </w:t>
      </w:r>
      <w:r w:rsidR="00CB6180">
        <w:rPr>
          <w:lang w:val="it-IT" w:eastAsia="ja-JP"/>
        </w:rPr>
        <w:t>May</w:t>
      </w:r>
      <w:r w:rsidRPr="00E50A44">
        <w:rPr>
          <w:lang w:val="it-IT" w:eastAsia="ja-JP"/>
        </w:rPr>
        <w:t xml:space="preserve"> </w:t>
      </w:r>
      <w:r w:rsidR="00CB6180">
        <w:rPr>
          <w:lang w:val="it-IT" w:eastAsia="ja-JP"/>
        </w:rPr>
        <w:t>22</w:t>
      </w:r>
      <w:r w:rsidRPr="00E50A44">
        <w:rPr>
          <w:lang w:val="it-IT" w:eastAsia="ja-JP"/>
        </w:rPr>
        <w:t xml:space="preserve"> – </w:t>
      </w:r>
      <w:r>
        <w:rPr>
          <w:lang w:val="it-IT" w:eastAsia="ja-JP"/>
        </w:rPr>
        <w:t>26</w:t>
      </w:r>
      <w:r w:rsidRPr="00E50A44">
        <w:rPr>
          <w:lang w:val="it-IT" w:eastAsia="ja-JP"/>
        </w:rPr>
        <w:t>,</w:t>
      </w:r>
      <w:r>
        <w:rPr>
          <w:lang w:val="it-IT" w:eastAsia="ja-JP"/>
        </w:rPr>
        <w:t xml:space="preserve"> 2023.</w:t>
      </w:r>
    </w:p>
    <w:p w14:paraId="78FDFFD4" w14:textId="6D0E675C" w:rsidR="008C45F0" w:rsidRPr="00476E3E" w:rsidRDefault="008C45F0" w:rsidP="009F7F4D">
      <w:pPr>
        <w:numPr>
          <w:ilvl w:val="0"/>
          <w:numId w:val="10"/>
        </w:numPr>
        <w:tabs>
          <w:tab w:val="clear" w:pos="720"/>
          <w:tab w:val="num" w:pos="426"/>
        </w:tabs>
        <w:overflowPunct/>
        <w:autoSpaceDE/>
        <w:autoSpaceDN/>
        <w:adjustRightInd/>
        <w:ind w:left="426" w:hanging="426"/>
        <w:jc w:val="both"/>
        <w:textAlignment w:val="auto"/>
        <w:rPr>
          <w:lang w:val="it-IT" w:eastAsia="ja-JP"/>
        </w:rPr>
      </w:pPr>
      <w:r w:rsidRPr="00476E3E">
        <w:rPr>
          <w:lang w:val="it-IT" w:eastAsia="ja-JP"/>
        </w:rPr>
        <w:t>R4-2308026, “Considerations of UE RF requirements for STxMP”, Samsung, 3GPP TSG-RAN4 #107, Incheon, Korea, May 22 – 26, 2023.</w:t>
      </w:r>
    </w:p>
    <w:p w14:paraId="2414CA6C" w14:textId="56540BF5" w:rsidR="00CB6180" w:rsidRDefault="00677737"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R1-2210801, “</w:t>
      </w:r>
      <w:r>
        <w:rPr>
          <w:lang w:val="en-US"/>
        </w:rPr>
        <w:t>Final Report of 3GPP TSG RAN WG1 #110bis-e v1.0.0</w:t>
      </w:r>
      <w:r>
        <w:rPr>
          <w:lang w:val="it-IT" w:eastAsia="ja-JP"/>
        </w:rPr>
        <w:t xml:space="preserve">”, RAN1, </w:t>
      </w:r>
      <w:r w:rsidRPr="00E50A44">
        <w:rPr>
          <w:lang w:val="it-IT" w:eastAsia="ja-JP"/>
        </w:rPr>
        <w:t>3GPP TSG-RAN</w:t>
      </w:r>
      <w:r>
        <w:rPr>
          <w:lang w:val="it-IT" w:eastAsia="ja-JP"/>
        </w:rPr>
        <w:t>1</w:t>
      </w:r>
      <w:r w:rsidRPr="00E50A44">
        <w:rPr>
          <w:lang w:val="it-IT" w:eastAsia="ja-JP"/>
        </w:rPr>
        <w:t xml:space="preserve"> #</w:t>
      </w:r>
      <w:r>
        <w:rPr>
          <w:lang w:val="it-IT" w:eastAsia="ja-JP"/>
        </w:rPr>
        <w:t>111</w:t>
      </w:r>
      <w:r w:rsidRPr="00E50A44">
        <w:rPr>
          <w:lang w:val="it-IT" w:eastAsia="ja-JP"/>
        </w:rPr>
        <w:t xml:space="preserve">, </w:t>
      </w:r>
      <w:r>
        <w:rPr>
          <w:lang w:val="it-IT" w:eastAsia="ja-JP"/>
        </w:rPr>
        <w:t>Toulouse, France,</w:t>
      </w:r>
      <w:r w:rsidRPr="00E50A44">
        <w:rPr>
          <w:lang w:val="it-IT" w:eastAsia="ja-JP"/>
        </w:rPr>
        <w:t xml:space="preserve"> </w:t>
      </w:r>
      <w:r>
        <w:rPr>
          <w:lang w:val="it-IT" w:eastAsia="ja-JP"/>
        </w:rPr>
        <w:t>November</w:t>
      </w:r>
      <w:r w:rsidRPr="00E50A44">
        <w:rPr>
          <w:lang w:val="it-IT" w:eastAsia="ja-JP"/>
        </w:rPr>
        <w:t xml:space="preserve"> </w:t>
      </w:r>
      <w:r>
        <w:rPr>
          <w:lang w:val="it-IT" w:eastAsia="ja-JP"/>
        </w:rPr>
        <w:t>14</w:t>
      </w:r>
      <w:r w:rsidRPr="00E50A44">
        <w:rPr>
          <w:lang w:val="it-IT" w:eastAsia="ja-JP"/>
        </w:rPr>
        <w:t xml:space="preserve"> – </w:t>
      </w:r>
      <w:r>
        <w:rPr>
          <w:lang w:val="it-IT" w:eastAsia="ja-JP"/>
        </w:rPr>
        <w:t>18</w:t>
      </w:r>
      <w:r w:rsidRPr="00E50A44">
        <w:rPr>
          <w:lang w:val="it-IT" w:eastAsia="ja-JP"/>
        </w:rPr>
        <w:t>,</w:t>
      </w:r>
      <w:r>
        <w:rPr>
          <w:lang w:val="it-IT" w:eastAsia="ja-JP"/>
        </w:rPr>
        <w:t xml:space="preserve"> 2022.</w:t>
      </w:r>
    </w:p>
    <w:p w14:paraId="5AC6A139" w14:textId="77777777" w:rsidR="00476E3E" w:rsidRDefault="00476E3E" w:rsidP="00476E3E">
      <w:pPr>
        <w:numPr>
          <w:ilvl w:val="0"/>
          <w:numId w:val="10"/>
        </w:numPr>
        <w:tabs>
          <w:tab w:val="clear" w:pos="720"/>
          <w:tab w:val="num" w:pos="426"/>
        </w:tabs>
        <w:overflowPunct/>
        <w:autoSpaceDE/>
        <w:autoSpaceDN/>
        <w:adjustRightInd/>
        <w:ind w:left="426" w:hanging="426"/>
        <w:jc w:val="both"/>
        <w:textAlignment w:val="auto"/>
        <w:rPr>
          <w:lang w:val="it-IT" w:eastAsia="ja-JP"/>
        </w:rPr>
      </w:pPr>
      <w:r w:rsidRPr="005F6F59">
        <w:rPr>
          <w:lang w:val="it-IT" w:eastAsia="ja-JP"/>
        </w:rPr>
        <w:t>R1-2210306</w:t>
      </w:r>
      <w:r>
        <w:rPr>
          <w:lang w:val="it-IT" w:eastAsia="ja-JP"/>
        </w:rPr>
        <w:t xml:space="preserve">, “Summary #2 on Rel-18 STxMP”, Moderator (OPPO), </w:t>
      </w:r>
      <w:r w:rsidRPr="00E50A44">
        <w:rPr>
          <w:lang w:val="it-IT" w:eastAsia="ja-JP"/>
        </w:rPr>
        <w:t>3GPP TSG-RAN</w:t>
      </w:r>
      <w:r>
        <w:rPr>
          <w:lang w:val="it-IT" w:eastAsia="ja-JP"/>
        </w:rPr>
        <w:t>1</w:t>
      </w:r>
      <w:r w:rsidRPr="00E50A44">
        <w:rPr>
          <w:lang w:val="it-IT" w:eastAsia="ja-JP"/>
        </w:rPr>
        <w:t xml:space="preserve"> #</w:t>
      </w:r>
      <w:r>
        <w:rPr>
          <w:lang w:val="it-IT" w:eastAsia="ja-JP"/>
        </w:rPr>
        <w:t>110bis-e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October</w:t>
      </w:r>
      <w:r w:rsidRPr="00E50A44">
        <w:rPr>
          <w:lang w:val="it-IT" w:eastAsia="ja-JP"/>
        </w:rPr>
        <w:t xml:space="preserve"> </w:t>
      </w:r>
      <w:r>
        <w:rPr>
          <w:lang w:val="it-IT" w:eastAsia="ja-JP"/>
        </w:rPr>
        <w:t>10</w:t>
      </w:r>
      <w:r w:rsidRPr="00E50A44">
        <w:rPr>
          <w:lang w:val="it-IT" w:eastAsia="ja-JP"/>
        </w:rPr>
        <w:t xml:space="preserve"> – </w:t>
      </w:r>
      <w:r>
        <w:rPr>
          <w:lang w:val="it-IT" w:eastAsia="ja-JP"/>
        </w:rPr>
        <w:t>19</w:t>
      </w:r>
      <w:r w:rsidRPr="00E50A44">
        <w:rPr>
          <w:lang w:val="it-IT" w:eastAsia="ja-JP"/>
        </w:rPr>
        <w:t>,</w:t>
      </w:r>
      <w:r>
        <w:rPr>
          <w:lang w:val="it-IT" w:eastAsia="ja-JP"/>
        </w:rPr>
        <w:t xml:space="preserve"> 2022.</w:t>
      </w:r>
    </w:p>
    <w:p w14:paraId="1123EC90" w14:textId="77777777" w:rsidR="00476E3E" w:rsidRPr="000211E5" w:rsidRDefault="00476E3E" w:rsidP="00476E3E">
      <w:pPr>
        <w:numPr>
          <w:ilvl w:val="0"/>
          <w:numId w:val="10"/>
        </w:numPr>
        <w:tabs>
          <w:tab w:val="clear" w:pos="720"/>
          <w:tab w:val="num" w:pos="426"/>
        </w:tabs>
        <w:overflowPunct/>
        <w:autoSpaceDE/>
        <w:autoSpaceDN/>
        <w:adjustRightInd/>
        <w:ind w:left="426" w:hanging="426"/>
        <w:jc w:val="both"/>
        <w:textAlignment w:val="auto"/>
        <w:rPr>
          <w:lang w:val="it-IT" w:eastAsia="ja-JP"/>
        </w:rPr>
      </w:pPr>
      <w:r w:rsidRPr="005F6F59">
        <w:rPr>
          <w:lang w:val="it-IT" w:eastAsia="ja-JP"/>
        </w:rPr>
        <w:t>R1-22</w:t>
      </w:r>
      <w:r>
        <w:rPr>
          <w:lang w:val="it-IT" w:eastAsia="ja-JP"/>
        </w:rPr>
        <w:t xml:space="preserve">10307, “Summary #3 on Rel-18 STxMP”, Moderator (OPPO), </w:t>
      </w:r>
      <w:r w:rsidRPr="00E50A44">
        <w:rPr>
          <w:lang w:val="it-IT" w:eastAsia="ja-JP"/>
        </w:rPr>
        <w:t>3GPP TSG-RAN</w:t>
      </w:r>
      <w:r>
        <w:rPr>
          <w:lang w:val="it-IT" w:eastAsia="ja-JP"/>
        </w:rPr>
        <w:t>1</w:t>
      </w:r>
      <w:r w:rsidRPr="00E50A44">
        <w:rPr>
          <w:lang w:val="it-IT" w:eastAsia="ja-JP"/>
        </w:rPr>
        <w:t xml:space="preserve"> #</w:t>
      </w:r>
      <w:r>
        <w:rPr>
          <w:lang w:val="it-IT" w:eastAsia="ja-JP"/>
        </w:rPr>
        <w:t>110bis-e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October</w:t>
      </w:r>
      <w:r w:rsidRPr="00E50A44">
        <w:rPr>
          <w:lang w:val="it-IT" w:eastAsia="ja-JP"/>
        </w:rPr>
        <w:t xml:space="preserve"> </w:t>
      </w:r>
      <w:r>
        <w:rPr>
          <w:lang w:val="it-IT" w:eastAsia="ja-JP"/>
        </w:rPr>
        <w:t>10</w:t>
      </w:r>
      <w:r w:rsidRPr="00E50A44">
        <w:rPr>
          <w:lang w:val="it-IT" w:eastAsia="ja-JP"/>
        </w:rPr>
        <w:t xml:space="preserve"> – </w:t>
      </w:r>
      <w:r>
        <w:rPr>
          <w:lang w:val="it-IT" w:eastAsia="ja-JP"/>
        </w:rPr>
        <w:t>19</w:t>
      </w:r>
      <w:r w:rsidRPr="00E50A44">
        <w:rPr>
          <w:lang w:val="it-IT" w:eastAsia="ja-JP"/>
        </w:rPr>
        <w:t>,</w:t>
      </w:r>
      <w:r>
        <w:rPr>
          <w:lang w:val="it-IT" w:eastAsia="ja-JP"/>
        </w:rPr>
        <w:t xml:space="preserve"> 2022.</w:t>
      </w:r>
    </w:p>
    <w:p w14:paraId="114AD080" w14:textId="588CC835" w:rsidR="007D2751" w:rsidRPr="00BD4430" w:rsidRDefault="00BD4430" w:rsidP="00BD4430">
      <w:pPr>
        <w:numPr>
          <w:ilvl w:val="0"/>
          <w:numId w:val="10"/>
        </w:numPr>
        <w:tabs>
          <w:tab w:val="clear" w:pos="720"/>
          <w:tab w:val="num" w:pos="426"/>
        </w:tabs>
        <w:overflowPunct/>
        <w:autoSpaceDE/>
        <w:autoSpaceDN/>
        <w:adjustRightInd/>
        <w:ind w:left="426" w:hanging="426"/>
        <w:jc w:val="both"/>
        <w:textAlignment w:val="auto"/>
        <w:rPr>
          <w:lang w:val="it-IT" w:eastAsia="ja-JP"/>
        </w:rPr>
      </w:pPr>
      <w:r w:rsidRPr="00476E3E">
        <w:rPr>
          <w:lang w:val="it-IT" w:eastAsia="ja-JP"/>
        </w:rPr>
        <w:t>R4-230</w:t>
      </w:r>
      <w:r>
        <w:rPr>
          <w:lang w:val="it-IT" w:eastAsia="ja-JP"/>
        </w:rPr>
        <w:t>9280</w:t>
      </w:r>
      <w:r w:rsidRPr="00476E3E">
        <w:rPr>
          <w:lang w:val="it-IT" w:eastAsia="ja-JP"/>
        </w:rPr>
        <w:t>, “</w:t>
      </w:r>
      <w:r w:rsidRPr="00BD4430">
        <w:rPr>
          <w:lang w:val="it-IT" w:eastAsia="ja-JP"/>
        </w:rPr>
        <w:t>On configured Tx power for STxMP in FR2</w:t>
      </w:r>
      <w:r w:rsidRPr="00476E3E">
        <w:rPr>
          <w:lang w:val="it-IT" w:eastAsia="ja-JP"/>
        </w:rPr>
        <w:t xml:space="preserve">”, </w:t>
      </w:r>
      <w:r>
        <w:rPr>
          <w:lang w:val="it-IT" w:eastAsia="ja-JP"/>
        </w:rPr>
        <w:t>Qualcomm</w:t>
      </w:r>
      <w:r w:rsidRPr="00476E3E">
        <w:rPr>
          <w:lang w:val="it-IT" w:eastAsia="ja-JP"/>
        </w:rPr>
        <w:t>, 3GPP TSG-RAN4 #107, Incheon, Korea, May 22 – 26, 2023</w:t>
      </w:r>
      <w:r w:rsidR="000211E5" w:rsidRPr="00BD4430">
        <w:rPr>
          <w:lang w:val="it-IT" w:eastAsia="ja-JP"/>
        </w:rPr>
        <w:t>.</w:t>
      </w:r>
    </w:p>
    <w:p w14:paraId="3D2D8B64" w14:textId="77777777" w:rsidR="004E7B25" w:rsidRDefault="004E7B25" w:rsidP="004E7B25">
      <w:pPr>
        <w:overflowPunct/>
        <w:autoSpaceDE/>
        <w:autoSpaceDN/>
        <w:adjustRightInd/>
        <w:jc w:val="both"/>
        <w:textAlignment w:val="auto"/>
        <w:rPr>
          <w:lang w:val="it-IT" w:eastAsia="ja-JP"/>
        </w:rPr>
      </w:pP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DAAD0" w14:textId="77777777" w:rsidR="00B13F17" w:rsidRDefault="00B13F17" w:rsidP="0052762B">
      <w:r>
        <w:separator/>
      </w:r>
    </w:p>
  </w:endnote>
  <w:endnote w:type="continuationSeparator" w:id="0">
    <w:p w14:paraId="0DBEEB8F" w14:textId="77777777" w:rsidR="00B13F17" w:rsidRDefault="00B13F1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13D05" w14:textId="77777777" w:rsidR="00B13F17" w:rsidRDefault="00B13F17" w:rsidP="0052762B">
      <w:r>
        <w:separator/>
      </w:r>
    </w:p>
  </w:footnote>
  <w:footnote w:type="continuationSeparator" w:id="0">
    <w:p w14:paraId="465BCA7E" w14:textId="77777777" w:rsidR="00B13F17" w:rsidRDefault="00B13F1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FEE"/>
    <w:multiLevelType w:val="hybridMultilevel"/>
    <w:tmpl w:val="3098984E"/>
    <w:lvl w:ilvl="0" w:tplc="116475CA">
      <w:start w:val="1"/>
      <w:numFmt w:val="decimal"/>
      <w:lvlText w:val="%1."/>
      <w:lvlJc w:val="left"/>
      <w:pPr>
        <w:ind w:left="760" w:hanging="360"/>
      </w:pPr>
      <w:rPr>
        <w:rFonts w:hint="default"/>
      </w:rPr>
    </w:lvl>
    <w:lvl w:ilvl="1" w:tplc="107CE5DE">
      <w:start w:val="1"/>
      <w:numFmt w:val="decimal"/>
      <w:lvlText w:val="2.%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06A0518"/>
    <w:multiLevelType w:val="hybridMultilevel"/>
    <w:tmpl w:val="42B23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8E42A6"/>
    <w:multiLevelType w:val="hybridMultilevel"/>
    <w:tmpl w:val="5BF8A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9"/>
  </w:num>
  <w:num w:numId="4">
    <w:abstractNumId w:val="33"/>
  </w:num>
  <w:num w:numId="5">
    <w:abstractNumId w:val="30"/>
  </w:num>
  <w:num w:numId="6">
    <w:abstractNumId w:val="13"/>
  </w:num>
  <w:num w:numId="7">
    <w:abstractNumId w:val="24"/>
  </w:num>
  <w:num w:numId="8">
    <w:abstractNumId w:val="37"/>
  </w:num>
  <w:num w:numId="9">
    <w:abstractNumId w:val="12"/>
  </w:num>
  <w:num w:numId="10">
    <w:abstractNumId w:val="35"/>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2"/>
  </w:num>
  <w:num w:numId="15">
    <w:abstractNumId w:val="9"/>
  </w:num>
  <w:num w:numId="16">
    <w:abstractNumId w:val="11"/>
  </w:num>
  <w:num w:numId="17">
    <w:abstractNumId w:val="28"/>
  </w:num>
  <w:num w:numId="18">
    <w:abstractNumId w:val="16"/>
  </w:num>
  <w:num w:numId="19">
    <w:abstractNumId w:val="4"/>
  </w:num>
  <w:num w:numId="20">
    <w:abstractNumId w:val="27"/>
  </w:num>
  <w:num w:numId="21">
    <w:abstractNumId w:val="22"/>
  </w:num>
  <w:num w:numId="22">
    <w:abstractNumId w:val="5"/>
  </w:num>
  <w:num w:numId="23">
    <w:abstractNumId w:val="26"/>
  </w:num>
  <w:num w:numId="24">
    <w:abstractNumId w:val="6"/>
  </w:num>
  <w:num w:numId="25">
    <w:abstractNumId w:val="29"/>
  </w:num>
  <w:num w:numId="26">
    <w:abstractNumId w:val="8"/>
  </w:num>
  <w:num w:numId="27">
    <w:abstractNumId w:val="8"/>
  </w:num>
  <w:num w:numId="28">
    <w:abstractNumId w:val="7"/>
  </w:num>
  <w:num w:numId="29">
    <w:abstractNumId w:val="18"/>
  </w:num>
  <w:num w:numId="30">
    <w:abstractNumId w:val="32"/>
  </w:num>
  <w:num w:numId="31">
    <w:abstractNumId w:val="21"/>
  </w:num>
  <w:num w:numId="32">
    <w:abstractNumId w:val="31"/>
  </w:num>
  <w:num w:numId="33">
    <w:abstractNumId w:val="0"/>
  </w:num>
  <w:num w:numId="34">
    <w:abstractNumId w:val="34"/>
  </w:num>
  <w:num w:numId="35">
    <w:abstractNumId w:val="15"/>
  </w:num>
  <w:num w:numId="36">
    <w:abstractNumId w:val="3"/>
  </w:num>
  <w:num w:numId="37">
    <w:abstractNumId w:val="36"/>
  </w:num>
  <w:num w:numId="38">
    <w:abstractNumId w:val="20"/>
  </w:num>
  <w:num w:numId="39">
    <w:abstractNumId w:val="25"/>
  </w:num>
  <w:num w:numId="4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592"/>
    <w:rsid w:val="00016DF3"/>
    <w:rsid w:val="0001724C"/>
    <w:rsid w:val="00017B85"/>
    <w:rsid w:val="00017C36"/>
    <w:rsid w:val="00017DBF"/>
    <w:rsid w:val="00017E2D"/>
    <w:rsid w:val="00017ECE"/>
    <w:rsid w:val="000202CF"/>
    <w:rsid w:val="00020669"/>
    <w:rsid w:val="00020776"/>
    <w:rsid w:val="0002079C"/>
    <w:rsid w:val="00020C36"/>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30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0A6"/>
    <w:rsid w:val="00054B1C"/>
    <w:rsid w:val="00054B49"/>
    <w:rsid w:val="00055332"/>
    <w:rsid w:val="000557C9"/>
    <w:rsid w:val="00055AD9"/>
    <w:rsid w:val="000560D3"/>
    <w:rsid w:val="00056721"/>
    <w:rsid w:val="00056CBD"/>
    <w:rsid w:val="00056EAE"/>
    <w:rsid w:val="00057673"/>
    <w:rsid w:val="00057835"/>
    <w:rsid w:val="0005790C"/>
    <w:rsid w:val="00057CCD"/>
    <w:rsid w:val="00057FE2"/>
    <w:rsid w:val="000601AF"/>
    <w:rsid w:val="0006068F"/>
    <w:rsid w:val="00060D25"/>
    <w:rsid w:val="00060DC3"/>
    <w:rsid w:val="0006142F"/>
    <w:rsid w:val="00061A56"/>
    <w:rsid w:val="00062143"/>
    <w:rsid w:val="000623F7"/>
    <w:rsid w:val="00062803"/>
    <w:rsid w:val="00062E8E"/>
    <w:rsid w:val="00062F4F"/>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2951"/>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8AB"/>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6DAD"/>
    <w:rsid w:val="0014709E"/>
    <w:rsid w:val="00151161"/>
    <w:rsid w:val="00151719"/>
    <w:rsid w:val="0015196F"/>
    <w:rsid w:val="00151DCD"/>
    <w:rsid w:val="001523AF"/>
    <w:rsid w:val="001529C9"/>
    <w:rsid w:val="00152BC7"/>
    <w:rsid w:val="00152D7A"/>
    <w:rsid w:val="00152FE6"/>
    <w:rsid w:val="00154183"/>
    <w:rsid w:val="00154797"/>
    <w:rsid w:val="001553D2"/>
    <w:rsid w:val="00155D37"/>
    <w:rsid w:val="00155DD7"/>
    <w:rsid w:val="001562C4"/>
    <w:rsid w:val="001567CB"/>
    <w:rsid w:val="0015694A"/>
    <w:rsid w:val="00156FA1"/>
    <w:rsid w:val="0015714C"/>
    <w:rsid w:val="00157609"/>
    <w:rsid w:val="0015782E"/>
    <w:rsid w:val="00157C9C"/>
    <w:rsid w:val="0016089E"/>
    <w:rsid w:val="00160972"/>
    <w:rsid w:val="00160B74"/>
    <w:rsid w:val="00160C6B"/>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5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76F"/>
    <w:rsid w:val="001E2875"/>
    <w:rsid w:val="001E3425"/>
    <w:rsid w:val="001E36E8"/>
    <w:rsid w:val="001E3816"/>
    <w:rsid w:val="001E399C"/>
    <w:rsid w:val="001E3ABE"/>
    <w:rsid w:val="001E3B64"/>
    <w:rsid w:val="001E4056"/>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0F52"/>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20A"/>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E3E"/>
    <w:rsid w:val="00273EBD"/>
    <w:rsid w:val="0027421E"/>
    <w:rsid w:val="0027485B"/>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1B2B"/>
    <w:rsid w:val="002A2166"/>
    <w:rsid w:val="002A23C5"/>
    <w:rsid w:val="002A2973"/>
    <w:rsid w:val="002A2993"/>
    <w:rsid w:val="002A29D7"/>
    <w:rsid w:val="002A2B82"/>
    <w:rsid w:val="002A31E8"/>
    <w:rsid w:val="002A3341"/>
    <w:rsid w:val="002A3BD8"/>
    <w:rsid w:val="002A3E86"/>
    <w:rsid w:val="002A40BD"/>
    <w:rsid w:val="002A4133"/>
    <w:rsid w:val="002A4C30"/>
    <w:rsid w:val="002A567F"/>
    <w:rsid w:val="002A5D42"/>
    <w:rsid w:val="002A60DC"/>
    <w:rsid w:val="002A614B"/>
    <w:rsid w:val="002A6857"/>
    <w:rsid w:val="002A68FF"/>
    <w:rsid w:val="002A6AA0"/>
    <w:rsid w:val="002A75E3"/>
    <w:rsid w:val="002A7870"/>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50"/>
    <w:rsid w:val="002B7587"/>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C6"/>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A53"/>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8E8"/>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4D01"/>
    <w:rsid w:val="003950DD"/>
    <w:rsid w:val="00395C7F"/>
    <w:rsid w:val="00395EC0"/>
    <w:rsid w:val="0039607A"/>
    <w:rsid w:val="0039647A"/>
    <w:rsid w:val="003967B5"/>
    <w:rsid w:val="00396825"/>
    <w:rsid w:val="003A003D"/>
    <w:rsid w:val="003A1B19"/>
    <w:rsid w:val="003A2D00"/>
    <w:rsid w:val="003A2EDF"/>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67F"/>
    <w:rsid w:val="003B7B6A"/>
    <w:rsid w:val="003B7C1F"/>
    <w:rsid w:val="003B7D4B"/>
    <w:rsid w:val="003C04E9"/>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3E67"/>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34"/>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518D"/>
    <w:rsid w:val="004759A8"/>
    <w:rsid w:val="00475AB2"/>
    <w:rsid w:val="00475E71"/>
    <w:rsid w:val="0047626A"/>
    <w:rsid w:val="0047656F"/>
    <w:rsid w:val="00476A5F"/>
    <w:rsid w:val="00476E3E"/>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8B3"/>
    <w:rsid w:val="00490FAB"/>
    <w:rsid w:val="0049171C"/>
    <w:rsid w:val="00491C2E"/>
    <w:rsid w:val="00491C84"/>
    <w:rsid w:val="004922AE"/>
    <w:rsid w:val="00492404"/>
    <w:rsid w:val="00492B50"/>
    <w:rsid w:val="00492C8D"/>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6B2"/>
    <w:rsid w:val="004D1781"/>
    <w:rsid w:val="004D2414"/>
    <w:rsid w:val="004D3ADB"/>
    <w:rsid w:val="004D3C23"/>
    <w:rsid w:val="004D3F4C"/>
    <w:rsid w:val="004D4538"/>
    <w:rsid w:val="004D4A9F"/>
    <w:rsid w:val="004D4FB6"/>
    <w:rsid w:val="004D572F"/>
    <w:rsid w:val="004D5BDD"/>
    <w:rsid w:val="004D5DB5"/>
    <w:rsid w:val="004D5F0F"/>
    <w:rsid w:val="004D6329"/>
    <w:rsid w:val="004D6F93"/>
    <w:rsid w:val="004D714B"/>
    <w:rsid w:val="004D75F0"/>
    <w:rsid w:val="004D7661"/>
    <w:rsid w:val="004D78A1"/>
    <w:rsid w:val="004D78ED"/>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4C2"/>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8B"/>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5ED"/>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2A6"/>
    <w:rsid w:val="005E423C"/>
    <w:rsid w:val="005E4410"/>
    <w:rsid w:val="005E461B"/>
    <w:rsid w:val="005E4829"/>
    <w:rsid w:val="005E4976"/>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AA1"/>
    <w:rsid w:val="006010A4"/>
    <w:rsid w:val="00601A0C"/>
    <w:rsid w:val="0060245E"/>
    <w:rsid w:val="00602F89"/>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2E7"/>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C7"/>
    <w:rsid w:val="006159E4"/>
    <w:rsid w:val="00617106"/>
    <w:rsid w:val="006173C6"/>
    <w:rsid w:val="00617417"/>
    <w:rsid w:val="00617546"/>
    <w:rsid w:val="00617675"/>
    <w:rsid w:val="006177D1"/>
    <w:rsid w:val="006179DE"/>
    <w:rsid w:val="00620799"/>
    <w:rsid w:val="0062093A"/>
    <w:rsid w:val="006211C1"/>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EF6"/>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1BA"/>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737"/>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5FDB"/>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3A6"/>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2D"/>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18E"/>
    <w:rsid w:val="008545F8"/>
    <w:rsid w:val="008546A2"/>
    <w:rsid w:val="008547AE"/>
    <w:rsid w:val="0085498E"/>
    <w:rsid w:val="0085567B"/>
    <w:rsid w:val="00855690"/>
    <w:rsid w:val="00855F51"/>
    <w:rsid w:val="00855F63"/>
    <w:rsid w:val="00856475"/>
    <w:rsid w:val="00856BFE"/>
    <w:rsid w:val="00856E70"/>
    <w:rsid w:val="0085727F"/>
    <w:rsid w:val="008575B1"/>
    <w:rsid w:val="008578E2"/>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D86"/>
    <w:rsid w:val="00892F81"/>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C5E"/>
    <w:rsid w:val="008A5E3E"/>
    <w:rsid w:val="008A6233"/>
    <w:rsid w:val="008A6421"/>
    <w:rsid w:val="008A65F1"/>
    <w:rsid w:val="008A6776"/>
    <w:rsid w:val="008A6BD4"/>
    <w:rsid w:val="008A6BDC"/>
    <w:rsid w:val="008A795E"/>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5F0"/>
    <w:rsid w:val="008C49AC"/>
    <w:rsid w:val="008C4C4C"/>
    <w:rsid w:val="008C4D83"/>
    <w:rsid w:val="008C51AC"/>
    <w:rsid w:val="008C57A9"/>
    <w:rsid w:val="008C6315"/>
    <w:rsid w:val="008C64AE"/>
    <w:rsid w:val="008C66CB"/>
    <w:rsid w:val="008C74A5"/>
    <w:rsid w:val="008C7CC9"/>
    <w:rsid w:val="008C7E39"/>
    <w:rsid w:val="008C7E60"/>
    <w:rsid w:val="008D04E0"/>
    <w:rsid w:val="008D0797"/>
    <w:rsid w:val="008D0A2C"/>
    <w:rsid w:val="008D0BAD"/>
    <w:rsid w:val="008D0F24"/>
    <w:rsid w:val="008D169B"/>
    <w:rsid w:val="008D1E8B"/>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722"/>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4E3C"/>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5EA1"/>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4BE"/>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9B8"/>
    <w:rsid w:val="009D4F0C"/>
    <w:rsid w:val="009D530B"/>
    <w:rsid w:val="009D53DF"/>
    <w:rsid w:val="009D54A1"/>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F1A"/>
    <w:rsid w:val="00A603D6"/>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84"/>
    <w:rsid w:val="00A945C5"/>
    <w:rsid w:val="00A947C1"/>
    <w:rsid w:val="00A94C77"/>
    <w:rsid w:val="00A9546A"/>
    <w:rsid w:val="00A95A01"/>
    <w:rsid w:val="00A9654E"/>
    <w:rsid w:val="00A969F8"/>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2139"/>
    <w:rsid w:val="00AB2257"/>
    <w:rsid w:val="00AB25D8"/>
    <w:rsid w:val="00AB29F8"/>
    <w:rsid w:val="00AB35CA"/>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A9A"/>
    <w:rsid w:val="00AC7E76"/>
    <w:rsid w:val="00AD0141"/>
    <w:rsid w:val="00AD01A3"/>
    <w:rsid w:val="00AD03CF"/>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3D4"/>
    <w:rsid w:val="00AF15D2"/>
    <w:rsid w:val="00AF2452"/>
    <w:rsid w:val="00AF284D"/>
    <w:rsid w:val="00AF2F9D"/>
    <w:rsid w:val="00AF31DE"/>
    <w:rsid w:val="00AF3297"/>
    <w:rsid w:val="00AF3519"/>
    <w:rsid w:val="00AF3579"/>
    <w:rsid w:val="00AF3A67"/>
    <w:rsid w:val="00AF3AA5"/>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2C8C"/>
    <w:rsid w:val="00B13192"/>
    <w:rsid w:val="00B13F17"/>
    <w:rsid w:val="00B1473B"/>
    <w:rsid w:val="00B1596D"/>
    <w:rsid w:val="00B1640F"/>
    <w:rsid w:val="00B167D7"/>
    <w:rsid w:val="00B169B1"/>
    <w:rsid w:val="00B16AF2"/>
    <w:rsid w:val="00B16D53"/>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3F2"/>
    <w:rsid w:val="00B46D69"/>
    <w:rsid w:val="00B470EF"/>
    <w:rsid w:val="00B47509"/>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2E57"/>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0DF"/>
    <w:rsid w:val="00BA317D"/>
    <w:rsid w:val="00BA3AB5"/>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3FE"/>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43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01"/>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57F"/>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D1B"/>
    <w:rsid w:val="00C441C6"/>
    <w:rsid w:val="00C44823"/>
    <w:rsid w:val="00C44A68"/>
    <w:rsid w:val="00C44D3D"/>
    <w:rsid w:val="00C44E5A"/>
    <w:rsid w:val="00C453BB"/>
    <w:rsid w:val="00C45A95"/>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233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6F86"/>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B0608"/>
    <w:rsid w:val="00CB0B33"/>
    <w:rsid w:val="00CB0E08"/>
    <w:rsid w:val="00CB116F"/>
    <w:rsid w:val="00CB1342"/>
    <w:rsid w:val="00CB1902"/>
    <w:rsid w:val="00CB1F9F"/>
    <w:rsid w:val="00CB25C5"/>
    <w:rsid w:val="00CB2685"/>
    <w:rsid w:val="00CB2AAC"/>
    <w:rsid w:val="00CB2CD3"/>
    <w:rsid w:val="00CB30B8"/>
    <w:rsid w:val="00CB3338"/>
    <w:rsid w:val="00CB40A5"/>
    <w:rsid w:val="00CB474E"/>
    <w:rsid w:val="00CB47AE"/>
    <w:rsid w:val="00CB5115"/>
    <w:rsid w:val="00CB5137"/>
    <w:rsid w:val="00CB5217"/>
    <w:rsid w:val="00CB5F05"/>
    <w:rsid w:val="00CB6180"/>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496A"/>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908"/>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17E6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59B"/>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064F"/>
    <w:rsid w:val="00D610C6"/>
    <w:rsid w:val="00D61428"/>
    <w:rsid w:val="00D614B0"/>
    <w:rsid w:val="00D61673"/>
    <w:rsid w:val="00D617EB"/>
    <w:rsid w:val="00D61A61"/>
    <w:rsid w:val="00D61DCC"/>
    <w:rsid w:val="00D628A0"/>
    <w:rsid w:val="00D62DB6"/>
    <w:rsid w:val="00D6342C"/>
    <w:rsid w:val="00D63556"/>
    <w:rsid w:val="00D636BF"/>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90A3A"/>
    <w:rsid w:val="00D92C79"/>
    <w:rsid w:val="00D9370A"/>
    <w:rsid w:val="00D93E68"/>
    <w:rsid w:val="00D9496A"/>
    <w:rsid w:val="00D94BAE"/>
    <w:rsid w:val="00D94E08"/>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3F6C"/>
    <w:rsid w:val="00DB524A"/>
    <w:rsid w:val="00DB5500"/>
    <w:rsid w:val="00DB5B58"/>
    <w:rsid w:val="00DB6377"/>
    <w:rsid w:val="00DB6740"/>
    <w:rsid w:val="00DB6882"/>
    <w:rsid w:val="00DB6AFD"/>
    <w:rsid w:val="00DB6F9E"/>
    <w:rsid w:val="00DB7162"/>
    <w:rsid w:val="00DB7188"/>
    <w:rsid w:val="00DB71C0"/>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AF7"/>
    <w:rsid w:val="00DE0C49"/>
    <w:rsid w:val="00DE0CE6"/>
    <w:rsid w:val="00DE1458"/>
    <w:rsid w:val="00DE14F7"/>
    <w:rsid w:val="00DE221F"/>
    <w:rsid w:val="00DE22A7"/>
    <w:rsid w:val="00DE2DD3"/>
    <w:rsid w:val="00DE2F8F"/>
    <w:rsid w:val="00DE3434"/>
    <w:rsid w:val="00DE3549"/>
    <w:rsid w:val="00DE39B6"/>
    <w:rsid w:val="00DE3F1E"/>
    <w:rsid w:val="00DE445D"/>
    <w:rsid w:val="00DE453A"/>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5CCE"/>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C7A"/>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FE8"/>
    <w:rsid w:val="00E610A0"/>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4F9"/>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C7AE1"/>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710"/>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964"/>
    <w:rsid w:val="00F40BCB"/>
    <w:rsid w:val="00F40D32"/>
    <w:rsid w:val="00F40E1D"/>
    <w:rsid w:val="00F40F33"/>
    <w:rsid w:val="00F418DD"/>
    <w:rsid w:val="00F42020"/>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B67"/>
    <w:rsid w:val="00F61EC6"/>
    <w:rsid w:val="00F62579"/>
    <w:rsid w:val="00F63875"/>
    <w:rsid w:val="00F63E3A"/>
    <w:rsid w:val="00F64AFE"/>
    <w:rsid w:val="00F65530"/>
    <w:rsid w:val="00F6585D"/>
    <w:rsid w:val="00F65CE2"/>
    <w:rsid w:val="00F66587"/>
    <w:rsid w:val="00F66717"/>
    <w:rsid w:val="00F66992"/>
    <w:rsid w:val="00F66A59"/>
    <w:rsid w:val="00F66B71"/>
    <w:rsid w:val="00F66C02"/>
    <w:rsid w:val="00F671D1"/>
    <w:rsid w:val="00F672BB"/>
    <w:rsid w:val="00F67472"/>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726"/>
    <w:rsid w:val="00F83898"/>
    <w:rsid w:val="00F83F8E"/>
    <w:rsid w:val="00F843A4"/>
    <w:rsid w:val="00F8466F"/>
    <w:rsid w:val="00F84E0B"/>
    <w:rsid w:val="00F850A0"/>
    <w:rsid w:val="00F85533"/>
    <w:rsid w:val="00F85E94"/>
    <w:rsid w:val="00F86295"/>
    <w:rsid w:val="00F86516"/>
    <w:rsid w:val="00F86D1C"/>
    <w:rsid w:val="00F87227"/>
    <w:rsid w:val="00F87874"/>
    <w:rsid w:val="00F87F6B"/>
    <w:rsid w:val="00F9033D"/>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E9E"/>
    <w:rsid w:val="00FE087D"/>
    <w:rsid w:val="00FE22EE"/>
    <w:rsid w:val="00FE25A2"/>
    <w:rsid w:val="00FE2B4A"/>
    <w:rsid w:val="00FE2B9B"/>
    <w:rsid w:val="00FE3B7A"/>
    <w:rsid w:val="00FE3B97"/>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46950-E1E9-4067-8368-81FF2A0A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4880</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198</cp:revision>
  <cp:lastPrinted>2010-01-07T02:23:00Z</cp:lastPrinted>
  <dcterms:created xsi:type="dcterms:W3CDTF">2023-02-14T09:59:00Z</dcterms:created>
  <dcterms:modified xsi:type="dcterms:W3CDTF">2023-08-11T13:02:00Z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(3)iZn0JrUi5T7zS2NyJxYycKp/ZMC+bAj9ldoqBFaL5KzdFQNo36xr93Z8JWSJII2KA9BepvPQ
8wzCOwOJtxgR5hUj6gVyqw56nPCPdrbTv8MFSrvWO/Aj6SIXDPN1bBcY5uoU0lFsZjnWXSm8
16XfcoxWi98iJPTESY9wTZVNzWKIfPNa7nYkhmBDB2C55BfXEGIfecytLu8YGel64BCeUyeC
S4gozdcOZBJRBl5tuo</vt:lpwstr>
  </property>
  <property fmtid="{D5CDD505-2E9C-101B-9397-08002B2CF9AE}" pid="15" name="_2015_ms_pID_725343_00">
    <vt:lpwstr>_2015_ms_pID_725343</vt:lpwstr>
  </property>
  <property fmtid="{D5CDD505-2E9C-101B-9397-08002B2CF9AE}" pid="16" name="_2015_ms_pID_7253431">
    <vt:lpwstr>fdHzxRn5Z4yQZf1hPgKhq/ynFub3+afzNF6fJyyNM0DHhNrhYzErFO
FTNfp0/V1ATKvcX7MA2bdVGYyu1dpt7O3LY9FgztBKbpQ2xa9EWZSIV40ZBIDzaBhoJ8qr/y
I9Id5YCN++mtH5LDSBdkj1oRdAncxb0hvAljV/X7ZhchDGu/a7Xo6+CTXKCnM3UDGR3lBcM3
DLqu7X7aK1FpD31z0aLZtvk7niF0kVeWePK1</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1690799897</vt:lpwstr>
  </property>
</Properties>
</file>